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0C6" w:rsidRPr="002B1E61" w:rsidRDefault="00BE53D4" w:rsidP="00BA30C6">
      <w:pPr>
        <w:spacing w:line="400" w:lineRule="exact"/>
        <w:jc w:val="center"/>
        <w:rPr>
          <w:rFonts w:eastAsia="標楷體"/>
          <w:b/>
          <w:sz w:val="26"/>
          <w:szCs w:val="26"/>
        </w:rPr>
      </w:pPr>
      <w:bookmarkStart w:id="0" w:name="蘭花生技學程"/>
      <w:r w:rsidRPr="00D75E4A">
        <w:rPr>
          <w:rFonts w:ascii="標楷體" w:eastAsia="標楷體" w:hAnsi="標楷體" w:cs="標楷體" w:hint="eastAsia"/>
          <w:b/>
          <w:color w:val="000000" w:themeColor="text1"/>
          <w:sz w:val="28"/>
          <w:szCs w:val="28"/>
        </w:rPr>
        <w:t>銀髮健康輔導</w:t>
      </w:r>
      <w:r w:rsidRPr="00D75E4A">
        <w:rPr>
          <w:rFonts w:eastAsia="標楷體" w:cs="標楷體" w:hint="eastAsia"/>
          <w:b/>
          <w:bCs/>
          <w:color w:val="000000" w:themeColor="text1"/>
          <w:sz w:val="28"/>
          <w:szCs w:val="28"/>
        </w:rPr>
        <w:t>學程</w:t>
      </w:r>
      <w:bookmarkEnd w:id="0"/>
    </w:p>
    <w:p w:rsidR="00BA30C6" w:rsidRPr="00AF2E9E" w:rsidRDefault="00BA30C6" w:rsidP="00BA30C6">
      <w:pPr>
        <w:shd w:val="clear" w:color="auto" w:fill="C0C0C0"/>
        <w:spacing w:line="500" w:lineRule="exact"/>
        <w:rPr>
          <w:rFonts w:eastAsia="標楷體"/>
          <w:b/>
          <w:sz w:val="26"/>
          <w:szCs w:val="26"/>
        </w:rPr>
      </w:pPr>
      <w:r w:rsidRPr="00AF2E9E">
        <w:rPr>
          <w:rFonts w:eastAsia="標楷體"/>
          <w:b/>
          <w:sz w:val="26"/>
          <w:szCs w:val="26"/>
        </w:rPr>
        <w:t>學程開設單位</w:t>
      </w:r>
    </w:p>
    <w:p w:rsidR="00BA30C6" w:rsidRPr="00AF2E9E" w:rsidRDefault="00BE53D4" w:rsidP="00BA30C6">
      <w:pPr>
        <w:spacing w:line="400" w:lineRule="exact"/>
        <w:rPr>
          <w:rFonts w:eastAsia="標楷體"/>
          <w:sz w:val="26"/>
          <w:szCs w:val="26"/>
        </w:rPr>
      </w:pPr>
      <w:r w:rsidRPr="00AF2E9E">
        <w:rPr>
          <w:rFonts w:eastAsia="標楷體"/>
          <w:sz w:val="26"/>
          <w:szCs w:val="26"/>
        </w:rPr>
        <w:t>師範學</w:t>
      </w:r>
      <w:r w:rsidR="00BA30C6" w:rsidRPr="00AF2E9E">
        <w:rPr>
          <w:rFonts w:eastAsia="標楷體"/>
          <w:sz w:val="26"/>
          <w:szCs w:val="26"/>
        </w:rPr>
        <w:t>院</w:t>
      </w:r>
      <w:r w:rsidR="00BA30C6" w:rsidRPr="00AF2E9E">
        <w:rPr>
          <w:rFonts w:eastAsia="標楷體"/>
          <w:sz w:val="26"/>
          <w:szCs w:val="26"/>
        </w:rPr>
        <w:t xml:space="preserve"> </w:t>
      </w:r>
    </w:p>
    <w:p w:rsidR="00BA30C6" w:rsidRPr="00AF2E9E" w:rsidRDefault="00BA30C6" w:rsidP="00BA30C6">
      <w:pPr>
        <w:shd w:val="clear" w:color="auto" w:fill="C0C0C0"/>
        <w:spacing w:line="500" w:lineRule="exact"/>
        <w:rPr>
          <w:rFonts w:eastAsia="標楷體"/>
          <w:b/>
          <w:sz w:val="26"/>
          <w:szCs w:val="26"/>
        </w:rPr>
      </w:pPr>
      <w:r w:rsidRPr="00AF2E9E">
        <w:rPr>
          <w:rFonts w:eastAsia="標楷體"/>
          <w:b/>
          <w:sz w:val="26"/>
          <w:szCs w:val="26"/>
        </w:rPr>
        <w:t>設置宗旨</w:t>
      </w:r>
    </w:p>
    <w:p w:rsidR="00AF2E9E" w:rsidRDefault="00BE53D4" w:rsidP="00360D3C">
      <w:pPr>
        <w:ind w:left="425"/>
        <w:jc w:val="both"/>
        <w:rPr>
          <w:rFonts w:eastAsia="標楷體"/>
          <w:color w:val="000000" w:themeColor="text1"/>
          <w:sz w:val="26"/>
          <w:szCs w:val="26"/>
        </w:rPr>
      </w:pPr>
      <w:r w:rsidRPr="00AF2E9E">
        <w:rPr>
          <w:rFonts w:eastAsia="標楷體"/>
          <w:color w:val="000000" w:themeColor="text1"/>
          <w:sz w:val="26"/>
          <w:szCs w:val="26"/>
        </w:rPr>
        <w:t>國立嘉義大學為強化「高齡者」身心專業指導與服務人才之培育能力所需，</w:t>
      </w:r>
    </w:p>
    <w:p w:rsidR="00BE53D4" w:rsidRPr="00AF2E9E" w:rsidRDefault="00BE53D4" w:rsidP="00360D3C">
      <w:pPr>
        <w:jc w:val="both"/>
        <w:rPr>
          <w:rFonts w:eastAsia="標楷體"/>
          <w:color w:val="000000" w:themeColor="text1"/>
          <w:sz w:val="26"/>
          <w:szCs w:val="26"/>
        </w:rPr>
      </w:pPr>
      <w:r w:rsidRPr="00AF2E9E">
        <w:rPr>
          <w:rFonts w:eastAsia="標楷體"/>
          <w:color w:val="000000" w:themeColor="text1"/>
          <w:sz w:val="26"/>
          <w:szCs w:val="26"/>
        </w:rPr>
        <w:t>以提供學生多元發展與選擇，規劃銀髮健康輔導學程。</w:t>
      </w:r>
    </w:p>
    <w:p w:rsidR="00AF2E9E" w:rsidRDefault="00BE53D4" w:rsidP="00360D3C">
      <w:pPr>
        <w:widowControl/>
        <w:spacing w:line="240" w:lineRule="atLeast"/>
        <w:ind w:left="137" w:firstLine="343"/>
        <w:jc w:val="both"/>
        <w:rPr>
          <w:rFonts w:eastAsia="標楷體"/>
          <w:color w:val="000000" w:themeColor="text1"/>
          <w:kern w:val="0"/>
          <w:sz w:val="26"/>
          <w:szCs w:val="26"/>
        </w:rPr>
      </w:pPr>
      <w:r w:rsidRPr="00AF2E9E">
        <w:rPr>
          <w:rFonts w:eastAsia="標楷體"/>
          <w:color w:val="000000" w:themeColor="text1"/>
          <w:kern w:val="0"/>
          <w:sz w:val="26"/>
          <w:szCs w:val="26"/>
        </w:rPr>
        <w:t>本學程根據本校發展願景，並據以制定跨領域人才培育之教育目標，</w:t>
      </w:r>
      <w:proofErr w:type="gramStart"/>
      <w:r w:rsidRPr="00AF2E9E">
        <w:rPr>
          <w:rFonts w:eastAsia="標楷體"/>
          <w:color w:val="000000" w:themeColor="text1"/>
          <w:kern w:val="0"/>
          <w:sz w:val="26"/>
          <w:szCs w:val="26"/>
        </w:rPr>
        <w:t>研</w:t>
      </w:r>
      <w:proofErr w:type="gramEnd"/>
      <w:r w:rsidRPr="00AF2E9E">
        <w:rPr>
          <w:rFonts w:eastAsia="標楷體"/>
          <w:color w:val="000000" w:themeColor="text1"/>
          <w:kern w:val="0"/>
          <w:sz w:val="26"/>
          <w:szCs w:val="26"/>
        </w:rPr>
        <w:t>訂出</w:t>
      </w:r>
    </w:p>
    <w:p w:rsidR="00BE53D4" w:rsidRPr="00AF2E9E" w:rsidRDefault="00BE53D4" w:rsidP="00360D3C">
      <w:pPr>
        <w:widowControl/>
        <w:spacing w:line="240" w:lineRule="atLeast"/>
        <w:jc w:val="both"/>
        <w:rPr>
          <w:rFonts w:eastAsia="標楷體"/>
          <w:color w:val="000000" w:themeColor="text1"/>
          <w:kern w:val="0"/>
          <w:sz w:val="26"/>
          <w:szCs w:val="26"/>
        </w:rPr>
      </w:pPr>
      <w:r w:rsidRPr="00AF2E9E">
        <w:rPr>
          <w:rFonts w:eastAsia="標楷體"/>
          <w:color w:val="000000" w:themeColor="text1"/>
          <w:kern w:val="0"/>
          <w:sz w:val="26"/>
          <w:szCs w:val="26"/>
        </w:rPr>
        <w:t>有效實踐教育理想的目標規劃，並據以發展出課程規劃策略與實施原則：</w:t>
      </w:r>
    </w:p>
    <w:p w:rsidR="00BE53D4" w:rsidRPr="00AF2E9E" w:rsidRDefault="00BE53D4" w:rsidP="00360D3C">
      <w:pPr>
        <w:widowControl/>
        <w:spacing w:line="240" w:lineRule="atLeast"/>
        <w:ind w:left="208" w:hangingChars="80" w:hanging="208"/>
        <w:jc w:val="both"/>
        <w:rPr>
          <w:rFonts w:eastAsia="標楷體"/>
          <w:color w:val="000000" w:themeColor="text1"/>
          <w:sz w:val="26"/>
          <w:szCs w:val="26"/>
        </w:rPr>
      </w:pPr>
      <w:r w:rsidRPr="00AF2E9E">
        <w:rPr>
          <w:rFonts w:eastAsia="標楷體"/>
          <w:color w:val="000000" w:themeColor="text1"/>
          <w:kern w:val="0"/>
          <w:sz w:val="26"/>
          <w:szCs w:val="26"/>
        </w:rPr>
        <w:t>1.</w:t>
      </w:r>
      <w:r w:rsidRPr="00AF2E9E">
        <w:rPr>
          <w:rFonts w:eastAsia="標楷體"/>
          <w:color w:val="000000" w:themeColor="text1"/>
          <w:sz w:val="26"/>
          <w:szCs w:val="26"/>
        </w:rPr>
        <w:t>整合體育與健康休閒學系、輔導與</w:t>
      </w:r>
      <w:proofErr w:type="gramStart"/>
      <w:r w:rsidRPr="00AF2E9E">
        <w:rPr>
          <w:rFonts w:eastAsia="標楷體"/>
          <w:color w:val="000000" w:themeColor="text1"/>
          <w:sz w:val="26"/>
          <w:szCs w:val="26"/>
        </w:rPr>
        <w:t>諮</w:t>
      </w:r>
      <w:proofErr w:type="gramEnd"/>
      <w:r w:rsidRPr="00AF2E9E">
        <w:rPr>
          <w:rFonts w:eastAsia="標楷體"/>
          <w:color w:val="000000" w:themeColor="text1"/>
          <w:sz w:val="26"/>
          <w:szCs w:val="26"/>
        </w:rPr>
        <w:t>商學系、特殊教育學系、教育學系等課程規劃「銀髮健康輔導學程」</w:t>
      </w:r>
      <w:r w:rsidRPr="00AF2E9E">
        <w:rPr>
          <w:color w:val="000000" w:themeColor="text1"/>
          <w:sz w:val="26"/>
          <w:szCs w:val="26"/>
        </w:rPr>
        <w:t>，</w:t>
      </w:r>
      <w:r w:rsidRPr="00AF2E9E">
        <w:rPr>
          <w:rFonts w:eastAsia="標楷體"/>
          <w:color w:val="000000" w:themeColor="text1"/>
          <w:sz w:val="26"/>
          <w:szCs w:val="26"/>
        </w:rPr>
        <w:t>以提供跨領域學生學習資源，</w:t>
      </w:r>
      <w:r w:rsidRPr="00AF2E9E">
        <w:rPr>
          <w:rFonts w:eastAsia="標楷體"/>
          <w:color w:val="000000" w:themeColor="text1"/>
          <w:kern w:val="0"/>
          <w:sz w:val="26"/>
          <w:szCs w:val="26"/>
        </w:rPr>
        <w:t>培育具備基礎</w:t>
      </w:r>
      <w:r w:rsidRPr="00AF2E9E">
        <w:rPr>
          <w:rFonts w:eastAsia="標楷體"/>
          <w:color w:val="000000" w:themeColor="text1"/>
          <w:sz w:val="26"/>
          <w:szCs w:val="26"/>
        </w:rPr>
        <w:t>「銀髮健康輔導」</w:t>
      </w:r>
      <w:r w:rsidRPr="00AF2E9E">
        <w:rPr>
          <w:rFonts w:eastAsia="標楷體"/>
          <w:color w:val="000000" w:themeColor="text1"/>
          <w:kern w:val="0"/>
          <w:sz w:val="26"/>
          <w:szCs w:val="26"/>
        </w:rPr>
        <w:t>知能之人才。</w:t>
      </w:r>
    </w:p>
    <w:p w:rsidR="00BE53D4" w:rsidRPr="00AF2E9E" w:rsidRDefault="00BE53D4" w:rsidP="00360D3C">
      <w:pPr>
        <w:widowControl/>
        <w:spacing w:line="240" w:lineRule="atLeast"/>
        <w:jc w:val="both"/>
        <w:rPr>
          <w:rFonts w:eastAsia="標楷體"/>
          <w:color w:val="000000" w:themeColor="text1"/>
          <w:kern w:val="0"/>
          <w:sz w:val="26"/>
          <w:szCs w:val="26"/>
        </w:rPr>
      </w:pPr>
      <w:r w:rsidRPr="00AF2E9E">
        <w:rPr>
          <w:rFonts w:eastAsia="標楷體"/>
          <w:color w:val="000000" w:themeColor="text1"/>
          <w:kern w:val="0"/>
          <w:sz w:val="26"/>
          <w:szCs w:val="26"/>
        </w:rPr>
        <w:t>2.</w:t>
      </w:r>
      <w:r w:rsidRPr="00AF2E9E">
        <w:rPr>
          <w:rFonts w:eastAsia="標楷體"/>
          <w:color w:val="000000" w:themeColor="text1"/>
          <w:sz w:val="26"/>
          <w:szCs w:val="26"/>
        </w:rPr>
        <w:t>以「銀髮健康輔導」理論與實務為教學內容，</w:t>
      </w:r>
      <w:r w:rsidRPr="00AF2E9E">
        <w:rPr>
          <w:rFonts w:eastAsia="標楷體"/>
          <w:color w:val="000000" w:themeColor="text1"/>
          <w:kern w:val="0"/>
          <w:sz w:val="26"/>
          <w:szCs w:val="26"/>
        </w:rPr>
        <w:t>培養具</w:t>
      </w:r>
      <w:r w:rsidRPr="00AF2E9E">
        <w:rPr>
          <w:rFonts w:eastAsia="標楷體"/>
          <w:color w:val="000000" w:themeColor="text1"/>
          <w:sz w:val="26"/>
          <w:szCs w:val="26"/>
        </w:rPr>
        <w:t>專業知能</w:t>
      </w:r>
      <w:r w:rsidRPr="00AF2E9E">
        <w:rPr>
          <w:rFonts w:eastAsia="標楷體"/>
          <w:color w:val="000000" w:themeColor="text1"/>
          <w:kern w:val="0"/>
          <w:sz w:val="26"/>
          <w:szCs w:val="26"/>
        </w:rPr>
        <w:t>之專才。</w:t>
      </w:r>
    </w:p>
    <w:p w:rsidR="00BE53D4" w:rsidRPr="00AF2E9E" w:rsidRDefault="00BE53D4" w:rsidP="00360D3C">
      <w:pPr>
        <w:widowControl/>
        <w:spacing w:line="240" w:lineRule="atLeast"/>
        <w:jc w:val="both"/>
        <w:rPr>
          <w:rFonts w:eastAsia="標楷體"/>
          <w:color w:val="000000" w:themeColor="text1"/>
          <w:kern w:val="0"/>
          <w:sz w:val="26"/>
          <w:szCs w:val="26"/>
        </w:rPr>
      </w:pPr>
      <w:r w:rsidRPr="00AF2E9E">
        <w:rPr>
          <w:rFonts w:eastAsia="標楷體"/>
          <w:color w:val="000000" w:themeColor="text1"/>
          <w:kern w:val="0"/>
          <w:sz w:val="26"/>
          <w:szCs w:val="26"/>
        </w:rPr>
        <w:t>3.</w:t>
      </w:r>
      <w:r w:rsidRPr="00AF2E9E">
        <w:rPr>
          <w:rFonts w:eastAsia="標楷體"/>
          <w:color w:val="000000" w:themeColor="text1"/>
          <w:kern w:val="0"/>
          <w:sz w:val="26"/>
          <w:szCs w:val="26"/>
        </w:rPr>
        <w:t>培育具跨領域視野之人才</w:t>
      </w:r>
      <w:r w:rsidRPr="00AF2E9E">
        <w:rPr>
          <w:color w:val="000000" w:themeColor="text1"/>
          <w:kern w:val="0"/>
          <w:sz w:val="26"/>
          <w:szCs w:val="26"/>
        </w:rPr>
        <w:t>，</w:t>
      </w:r>
      <w:r w:rsidRPr="00AF2E9E">
        <w:rPr>
          <w:rFonts w:eastAsia="標楷體"/>
          <w:color w:val="000000" w:themeColor="text1"/>
          <w:kern w:val="0"/>
          <w:sz w:val="26"/>
          <w:szCs w:val="26"/>
        </w:rPr>
        <w:t>強化</w:t>
      </w:r>
      <w:proofErr w:type="gramStart"/>
      <w:r w:rsidRPr="00AF2E9E">
        <w:rPr>
          <w:rFonts w:eastAsia="標楷體"/>
          <w:color w:val="000000" w:themeColor="text1"/>
          <w:kern w:val="0"/>
          <w:sz w:val="26"/>
          <w:szCs w:val="26"/>
        </w:rPr>
        <w:t>學生跨域學習</w:t>
      </w:r>
      <w:proofErr w:type="gramEnd"/>
      <w:r w:rsidRPr="00AF2E9E">
        <w:rPr>
          <w:rFonts w:eastAsia="標楷體"/>
          <w:color w:val="000000" w:themeColor="text1"/>
          <w:kern w:val="0"/>
          <w:sz w:val="26"/>
          <w:szCs w:val="26"/>
        </w:rPr>
        <w:t>與技術實務整合之能力。</w:t>
      </w:r>
    </w:p>
    <w:p w:rsidR="00BA30C6" w:rsidRPr="00AF2E9E" w:rsidRDefault="00BE53D4" w:rsidP="00360D3C">
      <w:pPr>
        <w:jc w:val="both"/>
        <w:rPr>
          <w:rFonts w:eastAsia="標楷體"/>
          <w:color w:val="000000" w:themeColor="text1"/>
          <w:sz w:val="26"/>
          <w:szCs w:val="26"/>
        </w:rPr>
      </w:pPr>
      <w:r w:rsidRPr="00AF2E9E">
        <w:rPr>
          <w:rFonts w:eastAsia="標楷體"/>
          <w:color w:val="000000" w:themeColor="text1"/>
          <w:kern w:val="0"/>
          <w:sz w:val="26"/>
          <w:szCs w:val="26"/>
        </w:rPr>
        <w:t>4.</w:t>
      </w:r>
      <w:r w:rsidRPr="00AF2E9E">
        <w:rPr>
          <w:rFonts w:eastAsia="標楷體"/>
          <w:color w:val="000000" w:themeColor="text1"/>
          <w:kern w:val="0"/>
          <w:sz w:val="26"/>
          <w:szCs w:val="26"/>
        </w:rPr>
        <w:t>培育關心</w:t>
      </w:r>
      <w:r w:rsidRPr="00AF2E9E">
        <w:rPr>
          <w:rFonts w:eastAsia="標楷體"/>
          <w:color w:val="000000" w:themeColor="text1"/>
          <w:sz w:val="26"/>
          <w:szCs w:val="26"/>
        </w:rPr>
        <w:t>銀髮健康輔導</w:t>
      </w:r>
      <w:r w:rsidRPr="00AF2E9E">
        <w:rPr>
          <w:rFonts w:eastAsia="標楷體"/>
          <w:color w:val="000000" w:themeColor="text1"/>
          <w:kern w:val="0"/>
          <w:sz w:val="26"/>
          <w:szCs w:val="26"/>
        </w:rPr>
        <w:t>相關議題之人才。</w:t>
      </w:r>
    </w:p>
    <w:p w:rsidR="00BA30C6" w:rsidRPr="00AF2E9E" w:rsidRDefault="00BA30C6" w:rsidP="00BA30C6">
      <w:pPr>
        <w:shd w:val="clear" w:color="auto" w:fill="C0C0C0"/>
        <w:spacing w:line="500" w:lineRule="exact"/>
        <w:rPr>
          <w:rFonts w:eastAsia="標楷體"/>
          <w:b/>
          <w:sz w:val="26"/>
          <w:szCs w:val="26"/>
        </w:rPr>
      </w:pPr>
      <w:r w:rsidRPr="00AF2E9E">
        <w:rPr>
          <w:rFonts w:eastAsia="標楷體"/>
          <w:b/>
          <w:sz w:val="26"/>
          <w:szCs w:val="26"/>
        </w:rPr>
        <w:t>修業規定</w:t>
      </w:r>
    </w:p>
    <w:p w:rsidR="00D97CE2" w:rsidRPr="00AF2E9E" w:rsidRDefault="00447343" w:rsidP="00360D3C">
      <w:pPr>
        <w:widowControl/>
        <w:ind w:firstLine="480"/>
        <w:jc w:val="both"/>
        <w:rPr>
          <w:rFonts w:eastAsia="標楷體"/>
          <w:color w:val="000000" w:themeColor="text1"/>
          <w:sz w:val="26"/>
          <w:szCs w:val="26"/>
        </w:rPr>
      </w:pPr>
      <w:r w:rsidRPr="00AF2E9E">
        <w:rPr>
          <w:rFonts w:eastAsia="標楷體"/>
          <w:color w:val="000000" w:themeColor="text1"/>
          <w:sz w:val="26"/>
          <w:szCs w:val="26"/>
        </w:rPr>
        <w:t>本校大學部各學系之在學學生於申請修習本學程之前一學期所修習學分應及格通過數達二分之一</w:t>
      </w:r>
      <w:r w:rsidRPr="00AF2E9E">
        <w:rPr>
          <w:rFonts w:eastAsia="標楷體"/>
          <w:color w:val="000000" w:themeColor="text1"/>
          <w:sz w:val="26"/>
          <w:szCs w:val="26"/>
        </w:rPr>
        <w:t>(</w:t>
      </w:r>
      <w:r w:rsidRPr="00AF2E9E">
        <w:rPr>
          <w:rFonts w:eastAsia="標楷體"/>
          <w:color w:val="000000" w:themeColor="text1"/>
          <w:sz w:val="26"/>
          <w:szCs w:val="26"/>
        </w:rPr>
        <w:t>含</w:t>
      </w:r>
      <w:r w:rsidRPr="00AF2E9E">
        <w:rPr>
          <w:rFonts w:eastAsia="標楷體"/>
          <w:color w:val="000000" w:themeColor="text1"/>
          <w:sz w:val="26"/>
          <w:szCs w:val="26"/>
        </w:rPr>
        <w:t>)</w:t>
      </w:r>
      <w:r w:rsidRPr="00AF2E9E">
        <w:rPr>
          <w:rFonts w:eastAsia="標楷體"/>
          <w:color w:val="000000" w:themeColor="text1"/>
          <w:sz w:val="26"/>
          <w:szCs w:val="26"/>
        </w:rPr>
        <w:t>以上。</w:t>
      </w:r>
    </w:p>
    <w:p w:rsidR="00BA30C6" w:rsidRPr="00AF2E9E" w:rsidRDefault="00D97CE2" w:rsidP="00360D3C">
      <w:pPr>
        <w:widowControl/>
        <w:ind w:firstLine="480"/>
        <w:jc w:val="both"/>
        <w:rPr>
          <w:rFonts w:eastAsia="標楷體"/>
          <w:color w:val="000000" w:themeColor="text1"/>
          <w:sz w:val="26"/>
          <w:szCs w:val="26"/>
        </w:rPr>
      </w:pPr>
      <w:r w:rsidRPr="00AF2E9E">
        <w:rPr>
          <w:rFonts w:eastAsia="標楷體"/>
          <w:color w:val="000000" w:themeColor="text1"/>
          <w:sz w:val="26"/>
          <w:szCs w:val="26"/>
        </w:rPr>
        <w:t>申請修習本學程之學生，應通過本學程委員會之甄選，每年名額由該年度可供使用之場地器材與儀器等容量決定招生名額，至多</w:t>
      </w:r>
      <w:r w:rsidRPr="00AF2E9E">
        <w:rPr>
          <w:rFonts w:eastAsia="標楷體"/>
          <w:color w:val="000000" w:themeColor="text1"/>
          <w:sz w:val="26"/>
          <w:szCs w:val="26"/>
        </w:rPr>
        <w:t>25</w:t>
      </w:r>
      <w:r w:rsidRPr="00AF2E9E">
        <w:rPr>
          <w:rFonts w:eastAsia="標楷體"/>
          <w:color w:val="000000" w:themeColor="text1"/>
          <w:sz w:val="26"/>
          <w:szCs w:val="26"/>
        </w:rPr>
        <w:t>名，未通過甄選學生亦可修習本學程課程，為各課程之修習已具有學程之學生為優先。各課程其他修習條件，依據授課老師要求訂定之。</w:t>
      </w:r>
    </w:p>
    <w:p w:rsidR="00D97CE2" w:rsidRPr="00AF2E9E" w:rsidRDefault="00D97CE2" w:rsidP="00360D3C">
      <w:pPr>
        <w:widowControl/>
        <w:ind w:firstLine="480"/>
        <w:jc w:val="both"/>
        <w:rPr>
          <w:rFonts w:eastAsia="標楷體"/>
          <w:color w:val="000000" w:themeColor="text1"/>
          <w:sz w:val="26"/>
          <w:szCs w:val="26"/>
        </w:rPr>
      </w:pPr>
      <w:r w:rsidRPr="00AF2E9E">
        <w:rPr>
          <w:rFonts w:eastAsia="標楷體"/>
          <w:color w:val="000000" w:themeColor="text1"/>
          <w:sz w:val="26"/>
          <w:szCs w:val="26"/>
        </w:rPr>
        <w:t>修習本學程學生每學年需至少參加一次「銀髮健康輔導」學程相關所辦理的工作坊或研習</w:t>
      </w:r>
      <w:r w:rsidRPr="00AF2E9E">
        <w:rPr>
          <w:rFonts w:eastAsia="標楷體"/>
          <w:color w:val="000000" w:themeColor="text1"/>
          <w:sz w:val="26"/>
          <w:szCs w:val="26"/>
        </w:rPr>
        <w:t>(</w:t>
      </w:r>
      <w:r w:rsidRPr="00AF2E9E">
        <w:rPr>
          <w:rFonts w:eastAsia="標楷體"/>
          <w:color w:val="000000" w:themeColor="text1"/>
          <w:sz w:val="26"/>
          <w:szCs w:val="26"/>
        </w:rPr>
        <w:t>討</w:t>
      </w:r>
      <w:r w:rsidRPr="00AF2E9E">
        <w:rPr>
          <w:rFonts w:eastAsia="標楷體"/>
          <w:color w:val="000000" w:themeColor="text1"/>
          <w:sz w:val="26"/>
          <w:szCs w:val="26"/>
        </w:rPr>
        <w:t>)</w:t>
      </w:r>
      <w:r w:rsidRPr="00AF2E9E">
        <w:rPr>
          <w:rFonts w:eastAsia="標楷體"/>
          <w:color w:val="000000" w:themeColor="text1"/>
          <w:sz w:val="26"/>
          <w:szCs w:val="26"/>
        </w:rPr>
        <w:t>會</w:t>
      </w:r>
      <w:r w:rsidRPr="00AF2E9E">
        <w:rPr>
          <w:rFonts w:eastAsia="標楷體"/>
          <w:color w:val="000000" w:themeColor="text1"/>
          <w:sz w:val="26"/>
          <w:szCs w:val="26"/>
        </w:rPr>
        <w:t>(</w:t>
      </w:r>
      <w:r w:rsidRPr="00AF2E9E">
        <w:rPr>
          <w:rFonts w:eastAsia="標楷體"/>
          <w:color w:val="000000" w:themeColor="text1"/>
          <w:sz w:val="26"/>
          <w:szCs w:val="26"/>
        </w:rPr>
        <w:t>經本學程委員會核准辦理者</w:t>
      </w:r>
      <w:r w:rsidRPr="00AF2E9E">
        <w:rPr>
          <w:rFonts w:eastAsia="標楷體"/>
          <w:color w:val="000000" w:themeColor="text1"/>
          <w:sz w:val="26"/>
          <w:szCs w:val="26"/>
        </w:rPr>
        <w:t>)</w:t>
      </w:r>
      <w:r w:rsidRPr="00AF2E9E">
        <w:rPr>
          <w:rFonts w:eastAsia="標楷體"/>
          <w:color w:val="000000" w:themeColor="text1"/>
          <w:sz w:val="26"/>
          <w:szCs w:val="26"/>
        </w:rPr>
        <w:t>，於取得本學程前應至少完成三次</w:t>
      </w:r>
      <w:r w:rsidRPr="00AF2E9E">
        <w:rPr>
          <w:rFonts w:eastAsia="標楷體"/>
          <w:color w:val="000000" w:themeColor="text1"/>
          <w:sz w:val="26"/>
          <w:szCs w:val="26"/>
        </w:rPr>
        <w:t>(</w:t>
      </w:r>
      <w:r w:rsidRPr="00AF2E9E">
        <w:rPr>
          <w:rFonts w:eastAsia="標楷體"/>
          <w:color w:val="000000" w:themeColor="text1"/>
          <w:sz w:val="26"/>
          <w:szCs w:val="26"/>
        </w:rPr>
        <w:t>含</w:t>
      </w:r>
      <w:r w:rsidRPr="00AF2E9E">
        <w:rPr>
          <w:rFonts w:eastAsia="標楷體"/>
          <w:color w:val="000000" w:themeColor="text1"/>
          <w:sz w:val="26"/>
          <w:szCs w:val="26"/>
        </w:rPr>
        <w:t>)</w:t>
      </w:r>
      <w:r w:rsidRPr="00AF2E9E">
        <w:rPr>
          <w:rFonts w:eastAsia="標楷體"/>
          <w:color w:val="000000" w:themeColor="text1"/>
          <w:sz w:val="26"/>
          <w:szCs w:val="26"/>
        </w:rPr>
        <w:t>以上，方可取得本學程之證明書</w:t>
      </w:r>
    </w:p>
    <w:p w:rsidR="00BA30C6" w:rsidRPr="00AF2E9E" w:rsidRDefault="00BA30C6" w:rsidP="00BA30C6">
      <w:pPr>
        <w:shd w:val="clear" w:color="auto" w:fill="C0C0C0"/>
        <w:spacing w:line="500" w:lineRule="exact"/>
        <w:rPr>
          <w:rFonts w:eastAsia="標楷體"/>
          <w:b/>
          <w:sz w:val="26"/>
          <w:szCs w:val="26"/>
        </w:rPr>
      </w:pPr>
      <w:r w:rsidRPr="00AF2E9E">
        <w:rPr>
          <w:rFonts w:eastAsia="標楷體"/>
          <w:b/>
          <w:sz w:val="26"/>
          <w:szCs w:val="26"/>
        </w:rPr>
        <w:t>申請期間</w:t>
      </w:r>
    </w:p>
    <w:p w:rsidR="00BA30C6" w:rsidRPr="00AF2E9E" w:rsidRDefault="00AF2E9E" w:rsidP="00BA30C6">
      <w:pPr>
        <w:spacing w:line="500" w:lineRule="exact"/>
        <w:rPr>
          <w:rFonts w:eastAsia="標楷體"/>
          <w:sz w:val="26"/>
          <w:szCs w:val="26"/>
        </w:rPr>
      </w:pPr>
      <w:r>
        <w:rPr>
          <w:rFonts w:eastAsia="標楷體" w:hint="eastAsia"/>
          <w:sz w:val="26"/>
          <w:szCs w:val="26"/>
        </w:rPr>
        <w:t>預定</w:t>
      </w:r>
      <w:r w:rsidR="007A1C96" w:rsidRPr="00AF2E9E">
        <w:rPr>
          <w:rFonts w:eastAsia="標楷體" w:hint="eastAsia"/>
          <w:sz w:val="26"/>
          <w:szCs w:val="26"/>
        </w:rPr>
        <w:t>每學期</w:t>
      </w:r>
      <w:r w:rsidR="0042714C" w:rsidRPr="00AF2E9E">
        <w:rPr>
          <w:rFonts w:eastAsia="標楷體" w:hint="eastAsia"/>
          <w:sz w:val="26"/>
          <w:szCs w:val="26"/>
        </w:rPr>
        <w:t>最</w:t>
      </w:r>
      <w:r w:rsidR="007A1C96" w:rsidRPr="00AF2E9E">
        <w:rPr>
          <w:rFonts w:eastAsia="標楷體" w:hint="eastAsia"/>
          <w:sz w:val="26"/>
          <w:szCs w:val="26"/>
        </w:rPr>
        <w:t>後四</w:t>
      </w:r>
      <w:proofErr w:type="gramStart"/>
      <w:r w:rsidR="007A1C96" w:rsidRPr="00AF2E9E">
        <w:rPr>
          <w:rFonts w:eastAsia="標楷體" w:hint="eastAsia"/>
          <w:sz w:val="26"/>
          <w:szCs w:val="26"/>
        </w:rPr>
        <w:t>週</w:t>
      </w:r>
      <w:proofErr w:type="gramEnd"/>
      <w:r w:rsidR="007A1C96" w:rsidRPr="00AF2E9E">
        <w:rPr>
          <w:rFonts w:eastAsia="標楷體" w:hint="eastAsia"/>
          <w:sz w:val="26"/>
          <w:szCs w:val="26"/>
        </w:rPr>
        <w:t>開始申請，詳細</w:t>
      </w:r>
      <w:proofErr w:type="gramStart"/>
      <w:r>
        <w:rPr>
          <w:rFonts w:eastAsia="標楷體" w:hint="eastAsia"/>
          <w:sz w:val="26"/>
          <w:szCs w:val="26"/>
        </w:rPr>
        <w:t>起</w:t>
      </w:r>
      <w:proofErr w:type="gramEnd"/>
      <w:r>
        <w:rPr>
          <w:rFonts w:eastAsia="標楷體" w:hint="eastAsia"/>
          <w:sz w:val="26"/>
          <w:szCs w:val="26"/>
        </w:rPr>
        <w:t>迄</w:t>
      </w:r>
      <w:r w:rsidR="007A1C96" w:rsidRPr="00AF2E9E">
        <w:rPr>
          <w:rFonts w:eastAsia="標楷體" w:hint="eastAsia"/>
          <w:sz w:val="26"/>
          <w:szCs w:val="26"/>
        </w:rPr>
        <w:t>時間</w:t>
      </w:r>
      <w:proofErr w:type="gramStart"/>
      <w:r w:rsidR="007A1C96" w:rsidRPr="00AF2E9E">
        <w:rPr>
          <w:rFonts w:eastAsia="標楷體" w:hint="eastAsia"/>
          <w:sz w:val="26"/>
          <w:szCs w:val="26"/>
        </w:rPr>
        <w:t>詳見院</w:t>
      </w:r>
      <w:proofErr w:type="gramEnd"/>
      <w:r w:rsidR="007A1C96" w:rsidRPr="00AF2E9E">
        <w:rPr>
          <w:rFonts w:eastAsia="標楷體" w:hint="eastAsia"/>
          <w:sz w:val="26"/>
          <w:szCs w:val="26"/>
        </w:rPr>
        <w:t>辦公告</w:t>
      </w:r>
    </w:p>
    <w:p w:rsidR="00BA30C6" w:rsidRPr="00AF2E9E" w:rsidRDefault="00BA30C6" w:rsidP="00BA30C6">
      <w:pPr>
        <w:shd w:val="clear" w:color="auto" w:fill="C0C0C0"/>
        <w:spacing w:line="500" w:lineRule="exact"/>
        <w:rPr>
          <w:rFonts w:eastAsia="標楷體"/>
          <w:b/>
          <w:sz w:val="26"/>
          <w:szCs w:val="26"/>
        </w:rPr>
      </w:pPr>
      <w:r w:rsidRPr="00AF2E9E">
        <w:rPr>
          <w:rFonts w:eastAsia="標楷體"/>
          <w:b/>
          <w:sz w:val="26"/>
          <w:szCs w:val="26"/>
        </w:rPr>
        <w:t>學程連絡人</w:t>
      </w:r>
    </w:p>
    <w:p w:rsidR="00BA30C6" w:rsidRPr="00AF2E9E" w:rsidRDefault="007A1C96" w:rsidP="00BA30C6">
      <w:pPr>
        <w:spacing w:line="500" w:lineRule="exact"/>
        <w:rPr>
          <w:rFonts w:eastAsia="標楷體"/>
          <w:sz w:val="26"/>
          <w:szCs w:val="26"/>
        </w:rPr>
      </w:pPr>
      <w:r w:rsidRPr="00AF2E9E">
        <w:rPr>
          <w:rFonts w:eastAsia="標楷體"/>
          <w:sz w:val="26"/>
          <w:szCs w:val="26"/>
        </w:rPr>
        <w:t>師範學院</w:t>
      </w:r>
      <w:r w:rsidRPr="00AF2E9E">
        <w:rPr>
          <w:rFonts w:eastAsia="標楷體"/>
          <w:sz w:val="26"/>
          <w:szCs w:val="26"/>
        </w:rPr>
        <w:t xml:space="preserve"> </w:t>
      </w:r>
      <w:r w:rsidRPr="00AF2E9E">
        <w:rPr>
          <w:rFonts w:eastAsia="標楷體" w:hint="eastAsia"/>
          <w:sz w:val="26"/>
          <w:szCs w:val="26"/>
        </w:rPr>
        <w:t>張家銘副院長</w:t>
      </w:r>
      <w:r w:rsidRPr="00AF2E9E">
        <w:rPr>
          <w:rFonts w:eastAsia="標楷體" w:hint="eastAsia"/>
          <w:sz w:val="26"/>
          <w:szCs w:val="26"/>
        </w:rPr>
        <w:t xml:space="preserve"> </w:t>
      </w:r>
      <w:r w:rsidRPr="00AF2E9E">
        <w:rPr>
          <w:rFonts w:eastAsia="標楷體"/>
          <w:sz w:val="26"/>
          <w:szCs w:val="26"/>
        </w:rPr>
        <w:t>(</w:t>
      </w:r>
      <w:r w:rsidRPr="00AF2E9E">
        <w:rPr>
          <w:rFonts w:eastAsia="標楷體" w:hint="eastAsia"/>
          <w:sz w:val="26"/>
          <w:szCs w:val="26"/>
        </w:rPr>
        <w:t>0</w:t>
      </w:r>
      <w:r w:rsidRPr="00AF2E9E">
        <w:rPr>
          <w:rFonts w:eastAsia="標楷體"/>
          <w:sz w:val="26"/>
          <w:szCs w:val="26"/>
        </w:rPr>
        <w:t xml:space="preserve">5)226-3411#1501  </w:t>
      </w:r>
      <w:r w:rsidRPr="00AF2E9E">
        <w:rPr>
          <w:rStyle w:val="aa"/>
          <w:color w:val="000000" w:themeColor="text1"/>
          <w:sz w:val="26"/>
          <w:szCs w:val="26"/>
          <w:u w:val="none"/>
        </w:rPr>
        <w:t>coledu@mail.ncyu.edu.tw</w:t>
      </w:r>
    </w:p>
    <w:p w:rsidR="00BA30C6" w:rsidRPr="00AF2E9E" w:rsidRDefault="00BA30C6" w:rsidP="00BA30C6">
      <w:pPr>
        <w:shd w:val="clear" w:color="auto" w:fill="C0C0C0"/>
        <w:spacing w:line="500" w:lineRule="exact"/>
        <w:rPr>
          <w:rFonts w:eastAsia="標楷體"/>
          <w:b/>
          <w:sz w:val="26"/>
          <w:szCs w:val="26"/>
        </w:rPr>
      </w:pPr>
      <w:r w:rsidRPr="00AF2E9E">
        <w:rPr>
          <w:rFonts w:eastAsia="標楷體"/>
          <w:b/>
          <w:sz w:val="26"/>
          <w:szCs w:val="26"/>
        </w:rPr>
        <w:t>課程規劃</w:t>
      </w:r>
    </w:p>
    <w:p w:rsidR="00BA30C6" w:rsidRDefault="00AF2E9E" w:rsidP="00360D3C">
      <w:pPr>
        <w:snapToGrid w:val="0"/>
        <w:spacing w:beforeLines="20" w:before="72" w:line="360" w:lineRule="exact"/>
        <w:ind w:firstLine="482"/>
        <w:jc w:val="both"/>
        <w:rPr>
          <w:rFonts w:eastAsia="標楷體"/>
          <w:color w:val="000000" w:themeColor="text1"/>
          <w:sz w:val="26"/>
          <w:szCs w:val="26"/>
        </w:rPr>
      </w:pPr>
      <w:r w:rsidRPr="00AF2E9E">
        <w:rPr>
          <w:rFonts w:eastAsia="標楷體"/>
          <w:color w:val="000000" w:themeColor="text1"/>
          <w:sz w:val="26"/>
          <w:szCs w:val="26"/>
        </w:rPr>
        <w:t>本學程應修習至少</w:t>
      </w:r>
      <w:r w:rsidRPr="00AF2E9E">
        <w:rPr>
          <w:rFonts w:eastAsia="標楷體"/>
          <w:color w:val="000000" w:themeColor="text1"/>
          <w:sz w:val="26"/>
          <w:szCs w:val="26"/>
        </w:rPr>
        <w:t>20</w:t>
      </w:r>
      <w:r w:rsidRPr="00AF2E9E">
        <w:rPr>
          <w:rFonts w:eastAsia="標楷體"/>
          <w:color w:val="000000" w:themeColor="text1"/>
          <w:sz w:val="26"/>
          <w:szCs w:val="26"/>
        </w:rPr>
        <w:t>學分，包括必修核心課程</w:t>
      </w:r>
      <w:r w:rsidRPr="00AF2E9E">
        <w:rPr>
          <w:rFonts w:eastAsia="標楷體"/>
          <w:color w:val="000000" w:themeColor="text1"/>
          <w:sz w:val="26"/>
          <w:szCs w:val="26"/>
        </w:rPr>
        <w:t>(6</w:t>
      </w:r>
      <w:r w:rsidRPr="00AF2E9E">
        <w:rPr>
          <w:rFonts w:eastAsia="標楷體"/>
          <w:color w:val="000000" w:themeColor="text1"/>
          <w:sz w:val="26"/>
          <w:szCs w:val="26"/>
        </w:rPr>
        <w:t>學分</w:t>
      </w:r>
      <w:r w:rsidRPr="00AF2E9E">
        <w:rPr>
          <w:rFonts w:eastAsia="標楷體"/>
          <w:color w:val="000000" w:themeColor="text1"/>
          <w:sz w:val="26"/>
          <w:szCs w:val="26"/>
        </w:rPr>
        <w:t>)</w:t>
      </w:r>
      <w:r w:rsidRPr="00AF2E9E">
        <w:rPr>
          <w:rFonts w:eastAsia="標楷體"/>
          <w:color w:val="000000" w:themeColor="text1"/>
          <w:sz w:val="26"/>
          <w:szCs w:val="26"/>
        </w:rPr>
        <w:t>：人體生理學</w:t>
      </w:r>
      <w:r w:rsidRPr="00AF2E9E">
        <w:rPr>
          <w:rFonts w:eastAsia="標楷體"/>
          <w:color w:val="000000" w:themeColor="text1"/>
          <w:sz w:val="26"/>
          <w:szCs w:val="26"/>
        </w:rPr>
        <w:t>(2</w:t>
      </w:r>
      <w:r w:rsidRPr="00AF2E9E">
        <w:rPr>
          <w:rFonts w:eastAsia="標楷體"/>
          <w:color w:val="000000" w:themeColor="text1"/>
          <w:sz w:val="26"/>
          <w:szCs w:val="26"/>
        </w:rPr>
        <w:t>學分</w:t>
      </w:r>
      <w:r w:rsidRPr="00AF2E9E">
        <w:rPr>
          <w:rFonts w:eastAsia="標楷體"/>
          <w:color w:val="000000" w:themeColor="text1"/>
          <w:sz w:val="26"/>
          <w:szCs w:val="26"/>
        </w:rPr>
        <w:t>)</w:t>
      </w:r>
      <w:r w:rsidRPr="00AF2E9E">
        <w:rPr>
          <w:rFonts w:eastAsia="標楷體"/>
          <w:color w:val="000000" w:themeColor="text1"/>
          <w:sz w:val="26"/>
          <w:szCs w:val="26"/>
        </w:rPr>
        <w:t>、老人心理學</w:t>
      </w:r>
      <w:r w:rsidRPr="00AF2E9E">
        <w:rPr>
          <w:rFonts w:eastAsia="標楷體"/>
          <w:color w:val="000000" w:themeColor="text1"/>
          <w:sz w:val="26"/>
          <w:szCs w:val="26"/>
        </w:rPr>
        <w:t>(2</w:t>
      </w:r>
      <w:r w:rsidRPr="00AF2E9E">
        <w:rPr>
          <w:rFonts w:eastAsia="標楷體"/>
          <w:color w:val="000000" w:themeColor="text1"/>
          <w:sz w:val="26"/>
          <w:szCs w:val="26"/>
        </w:rPr>
        <w:t>學分</w:t>
      </w:r>
      <w:r w:rsidRPr="00AF2E9E">
        <w:rPr>
          <w:rFonts w:eastAsia="標楷體"/>
          <w:color w:val="000000" w:themeColor="text1"/>
          <w:sz w:val="26"/>
          <w:szCs w:val="26"/>
        </w:rPr>
        <w:t>)</w:t>
      </w:r>
      <w:r w:rsidRPr="00AF2E9E">
        <w:rPr>
          <w:rFonts w:eastAsia="標楷體"/>
          <w:color w:val="000000" w:themeColor="text1"/>
          <w:sz w:val="26"/>
          <w:szCs w:val="26"/>
        </w:rPr>
        <w:t>以及高齡教育</w:t>
      </w:r>
      <w:r w:rsidRPr="00AF2E9E">
        <w:rPr>
          <w:rFonts w:eastAsia="標楷體"/>
          <w:color w:val="000000" w:themeColor="text1"/>
          <w:sz w:val="26"/>
          <w:szCs w:val="26"/>
        </w:rPr>
        <w:t>(2</w:t>
      </w:r>
      <w:r w:rsidRPr="00AF2E9E">
        <w:rPr>
          <w:rFonts w:eastAsia="標楷體"/>
          <w:color w:val="000000" w:themeColor="text1"/>
          <w:sz w:val="26"/>
          <w:szCs w:val="26"/>
        </w:rPr>
        <w:t>學分</w:t>
      </w:r>
      <w:r w:rsidRPr="00AF2E9E">
        <w:rPr>
          <w:rFonts w:eastAsia="標楷體"/>
          <w:color w:val="000000" w:themeColor="text1"/>
          <w:sz w:val="26"/>
          <w:szCs w:val="26"/>
        </w:rPr>
        <w:t>)</w:t>
      </w:r>
      <w:r w:rsidRPr="00AF2E9E">
        <w:rPr>
          <w:color w:val="000000" w:themeColor="text1"/>
          <w:sz w:val="26"/>
          <w:szCs w:val="26"/>
        </w:rPr>
        <w:t>。</w:t>
      </w:r>
      <w:r w:rsidRPr="00AF2E9E">
        <w:rPr>
          <w:rFonts w:eastAsia="標楷體"/>
          <w:color w:val="000000" w:themeColor="text1"/>
          <w:sz w:val="26"/>
          <w:szCs w:val="26"/>
        </w:rPr>
        <w:t>專業選修課程</w:t>
      </w:r>
      <w:r w:rsidRPr="00AF2E9E">
        <w:rPr>
          <w:rFonts w:eastAsia="標楷體"/>
          <w:color w:val="000000" w:themeColor="text1"/>
          <w:sz w:val="26"/>
          <w:szCs w:val="26"/>
        </w:rPr>
        <w:t>(14</w:t>
      </w:r>
      <w:r w:rsidRPr="00AF2E9E">
        <w:rPr>
          <w:rFonts w:eastAsia="標楷體"/>
          <w:color w:val="000000" w:themeColor="text1"/>
          <w:sz w:val="26"/>
          <w:szCs w:val="26"/>
        </w:rPr>
        <w:t>學分</w:t>
      </w:r>
      <w:r w:rsidRPr="00AF2E9E">
        <w:rPr>
          <w:rFonts w:eastAsia="標楷體"/>
          <w:color w:val="000000" w:themeColor="text1"/>
          <w:sz w:val="26"/>
          <w:szCs w:val="26"/>
        </w:rPr>
        <w:t>)</w:t>
      </w:r>
      <w:r w:rsidRPr="00AF2E9E">
        <w:rPr>
          <w:rFonts w:eastAsia="微軟正黑體"/>
          <w:color w:val="000000" w:themeColor="text1"/>
          <w:sz w:val="26"/>
          <w:szCs w:val="26"/>
        </w:rPr>
        <w:t>：</w:t>
      </w:r>
      <w:r w:rsidRPr="00AF2E9E">
        <w:rPr>
          <w:rFonts w:eastAsia="標楷體"/>
          <w:color w:val="000000" w:themeColor="text1"/>
          <w:sz w:val="26"/>
          <w:szCs w:val="26"/>
        </w:rPr>
        <w:t>高齡健康身心發展課程、高齡健康行為與技術課程所與實務應用課程等三領域，各領域至少須修習</w:t>
      </w:r>
      <w:r w:rsidRPr="00AF2E9E">
        <w:rPr>
          <w:rFonts w:eastAsia="標楷體"/>
          <w:color w:val="000000" w:themeColor="text1"/>
          <w:sz w:val="26"/>
          <w:szCs w:val="26"/>
        </w:rPr>
        <w:t>2</w:t>
      </w:r>
      <w:r w:rsidRPr="00AF2E9E">
        <w:rPr>
          <w:rFonts w:eastAsia="標楷體"/>
          <w:color w:val="000000" w:themeColor="text1"/>
          <w:sz w:val="26"/>
          <w:szCs w:val="26"/>
        </w:rPr>
        <w:t>學分。</w:t>
      </w:r>
    </w:p>
    <w:p w:rsidR="00251C98" w:rsidRDefault="00251C98" w:rsidP="00AF2E9E">
      <w:pPr>
        <w:snapToGrid w:val="0"/>
        <w:spacing w:line="360" w:lineRule="exact"/>
        <w:ind w:firstLine="482"/>
        <w:rPr>
          <w:rFonts w:eastAsia="標楷體"/>
          <w:color w:val="000000" w:themeColor="text1"/>
          <w:sz w:val="26"/>
          <w:szCs w:val="26"/>
        </w:rPr>
      </w:pPr>
    </w:p>
    <w:p w:rsidR="00251C98" w:rsidRPr="00AF2E9E" w:rsidRDefault="00251C98" w:rsidP="00AF2E9E">
      <w:pPr>
        <w:snapToGrid w:val="0"/>
        <w:spacing w:line="360" w:lineRule="exact"/>
        <w:ind w:firstLine="482"/>
        <w:rPr>
          <w:rFonts w:eastAsia="標楷體"/>
          <w:color w:val="000000" w:themeColor="text1"/>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02"/>
        <w:gridCol w:w="3005"/>
        <w:gridCol w:w="1880"/>
        <w:gridCol w:w="1253"/>
        <w:gridCol w:w="471"/>
        <w:gridCol w:w="1131"/>
      </w:tblGrid>
      <w:tr w:rsidR="0042714C" w:rsidRPr="00AF2E9E" w:rsidTr="00AC312D">
        <w:tc>
          <w:tcPr>
            <w:tcW w:w="5000" w:type="pct"/>
            <w:gridSpan w:val="6"/>
            <w:shd w:val="clear" w:color="auto" w:fill="D9D9D9"/>
          </w:tcPr>
          <w:p w:rsidR="0042714C" w:rsidRPr="00AF2E9E" w:rsidRDefault="0042714C" w:rsidP="00AC312D">
            <w:pPr>
              <w:jc w:val="center"/>
              <w:rPr>
                <w:rFonts w:eastAsia="標楷體"/>
                <w:b/>
                <w:color w:val="000000" w:themeColor="text1"/>
                <w:sz w:val="26"/>
                <w:szCs w:val="26"/>
              </w:rPr>
            </w:pPr>
            <w:r w:rsidRPr="00AF2E9E">
              <w:rPr>
                <w:rFonts w:eastAsia="標楷體"/>
                <w:b/>
                <w:color w:val="000000" w:themeColor="text1"/>
                <w:sz w:val="26"/>
                <w:szCs w:val="26"/>
              </w:rPr>
              <w:lastRenderedPageBreak/>
              <w:t>必修核心課程</w:t>
            </w:r>
          </w:p>
        </w:tc>
      </w:tr>
      <w:tr w:rsidR="0042714C" w:rsidRPr="00AF2E9E" w:rsidTr="00AC312D">
        <w:tc>
          <w:tcPr>
            <w:tcW w:w="2438" w:type="pct"/>
            <w:gridSpan w:val="2"/>
            <w:shd w:val="clear" w:color="auto" w:fill="D9D9D9"/>
          </w:tcPr>
          <w:p w:rsidR="0042714C" w:rsidRPr="00AF2E9E" w:rsidRDefault="0042714C" w:rsidP="0042714C">
            <w:pPr>
              <w:jc w:val="center"/>
              <w:rPr>
                <w:rFonts w:eastAsia="標楷體"/>
                <w:color w:val="000000" w:themeColor="text1"/>
                <w:sz w:val="26"/>
                <w:szCs w:val="26"/>
              </w:rPr>
            </w:pPr>
            <w:r w:rsidRPr="00AF2E9E">
              <w:rPr>
                <w:rFonts w:eastAsia="標楷體"/>
                <w:color w:val="000000" w:themeColor="text1"/>
                <w:sz w:val="26"/>
                <w:szCs w:val="26"/>
              </w:rPr>
              <w:t>課程名稱</w:t>
            </w:r>
          </w:p>
        </w:tc>
        <w:tc>
          <w:tcPr>
            <w:tcW w:w="1017" w:type="pct"/>
            <w:shd w:val="clear" w:color="auto" w:fill="D9D9D9"/>
          </w:tcPr>
          <w:p w:rsidR="0042714C" w:rsidRPr="00AF2E9E" w:rsidRDefault="0042714C" w:rsidP="0042714C">
            <w:pPr>
              <w:jc w:val="center"/>
              <w:rPr>
                <w:rFonts w:eastAsia="標楷體"/>
                <w:color w:val="000000" w:themeColor="text1"/>
                <w:sz w:val="26"/>
                <w:szCs w:val="26"/>
              </w:rPr>
            </w:pPr>
            <w:r w:rsidRPr="00AF2E9E">
              <w:rPr>
                <w:rFonts w:eastAsia="標楷體"/>
                <w:color w:val="000000" w:themeColor="text1"/>
                <w:sz w:val="26"/>
                <w:szCs w:val="26"/>
              </w:rPr>
              <w:t>開課班級</w:t>
            </w:r>
          </w:p>
        </w:tc>
        <w:tc>
          <w:tcPr>
            <w:tcW w:w="678" w:type="pct"/>
            <w:shd w:val="clear" w:color="auto" w:fill="D9D9D9"/>
          </w:tcPr>
          <w:p w:rsidR="0042714C" w:rsidRPr="00AF2E9E" w:rsidRDefault="0042714C" w:rsidP="0042714C">
            <w:pPr>
              <w:jc w:val="center"/>
              <w:rPr>
                <w:rFonts w:eastAsia="標楷體"/>
                <w:color w:val="000000" w:themeColor="text1"/>
                <w:sz w:val="26"/>
                <w:szCs w:val="26"/>
              </w:rPr>
            </w:pPr>
            <w:r w:rsidRPr="00AF2E9E">
              <w:rPr>
                <w:rFonts w:eastAsia="標楷體"/>
                <w:color w:val="000000" w:themeColor="text1"/>
                <w:sz w:val="26"/>
                <w:szCs w:val="26"/>
              </w:rPr>
              <w:t>學分數</w:t>
            </w:r>
          </w:p>
        </w:tc>
        <w:tc>
          <w:tcPr>
            <w:tcW w:w="867" w:type="pct"/>
            <w:gridSpan w:val="2"/>
            <w:shd w:val="clear" w:color="auto" w:fill="D9D9D9"/>
          </w:tcPr>
          <w:p w:rsidR="0042714C" w:rsidRPr="00AF2E9E" w:rsidRDefault="0042714C" w:rsidP="0042714C">
            <w:pPr>
              <w:jc w:val="center"/>
              <w:rPr>
                <w:rFonts w:eastAsia="標楷體"/>
                <w:color w:val="000000" w:themeColor="text1"/>
                <w:sz w:val="26"/>
                <w:szCs w:val="26"/>
              </w:rPr>
            </w:pPr>
            <w:r w:rsidRPr="00AF2E9E">
              <w:rPr>
                <w:rFonts w:eastAsia="標楷體"/>
                <w:color w:val="000000" w:themeColor="text1"/>
                <w:sz w:val="26"/>
                <w:szCs w:val="26"/>
              </w:rPr>
              <w:t>備註</w:t>
            </w:r>
          </w:p>
        </w:tc>
      </w:tr>
      <w:tr w:rsidR="0042714C" w:rsidRPr="00AF2E9E" w:rsidTr="00AC312D">
        <w:tc>
          <w:tcPr>
            <w:tcW w:w="2438" w:type="pct"/>
            <w:gridSpan w:val="2"/>
          </w:tcPr>
          <w:p w:rsidR="0042714C" w:rsidRPr="00AF2E9E" w:rsidRDefault="0042714C" w:rsidP="00AC312D">
            <w:pPr>
              <w:rPr>
                <w:rFonts w:eastAsia="標楷體"/>
                <w:color w:val="000000" w:themeColor="text1"/>
                <w:sz w:val="26"/>
                <w:szCs w:val="26"/>
              </w:rPr>
            </w:pPr>
            <w:r w:rsidRPr="00AF2E9E">
              <w:rPr>
                <w:rFonts w:eastAsia="標楷體"/>
                <w:color w:val="000000" w:themeColor="text1"/>
                <w:sz w:val="26"/>
                <w:szCs w:val="26"/>
              </w:rPr>
              <w:t>人體生理學</w:t>
            </w:r>
          </w:p>
        </w:tc>
        <w:tc>
          <w:tcPr>
            <w:tcW w:w="1017" w:type="pct"/>
          </w:tcPr>
          <w:p w:rsidR="0042714C" w:rsidRPr="00AF2E9E" w:rsidRDefault="0042714C" w:rsidP="00AC312D">
            <w:pPr>
              <w:rPr>
                <w:rFonts w:eastAsia="標楷體"/>
                <w:color w:val="000000" w:themeColor="text1"/>
                <w:sz w:val="26"/>
                <w:szCs w:val="26"/>
              </w:rPr>
            </w:pPr>
            <w:r w:rsidRPr="00AF2E9E">
              <w:rPr>
                <w:rFonts w:eastAsia="標楷體"/>
                <w:color w:val="000000" w:themeColor="text1"/>
                <w:sz w:val="26"/>
                <w:szCs w:val="26"/>
              </w:rPr>
              <w:t>相關系所班級</w:t>
            </w:r>
          </w:p>
        </w:tc>
        <w:tc>
          <w:tcPr>
            <w:tcW w:w="678" w:type="pct"/>
          </w:tcPr>
          <w:p w:rsidR="0042714C" w:rsidRPr="00AF2E9E" w:rsidRDefault="0042714C" w:rsidP="00AC312D">
            <w:pPr>
              <w:jc w:val="center"/>
              <w:rPr>
                <w:rFonts w:eastAsia="標楷體"/>
                <w:color w:val="000000" w:themeColor="text1"/>
                <w:sz w:val="26"/>
                <w:szCs w:val="26"/>
              </w:rPr>
            </w:pPr>
            <w:r w:rsidRPr="00AF2E9E">
              <w:rPr>
                <w:rFonts w:eastAsia="標楷體"/>
                <w:color w:val="000000" w:themeColor="text1"/>
                <w:sz w:val="26"/>
                <w:szCs w:val="26"/>
              </w:rPr>
              <w:t>2</w:t>
            </w:r>
          </w:p>
        </w:tc>
        <w:tc>
          <w:tcPr>
            <w:tcW w:w="867" w:type="pct"/>
            <w:gridSpan w:val="2"/>
          </w:tcPr>
          <w:p w:rsidR="0042714C" w:rsidRPr="00AF2E9E" w:rsidRDefault="0042714C" w:rsidP="00AC312D">
            <w:pPr>
              <w:rPr>
                <w:rFonts w:eastAsia="標楷體"/>
                <w:color w:val="000000" w:themeColor="text1"/>
                <w:sz w:val="26"/>
                <w:szCs w:val="26"/>
              </w:rPr>
            </w:pPr>
          </w:p>
        </w:tc>
      </w:tr>
      <w:tr w:rsidR="0042714C" w:rsidRPr="00AF2E9E" w:rsidTr="00AC312D">
        <w:tc>
          <w:tcPr>
            <w:tcW w:w="2438" w:type="pct"/>
            <w:gridSpan w:val="2"/>
          </w:tcPr>
          <w:p w:rsidR="0042714C" w:rsidRPr="00AF2E9E" w:rsidRDefault="0042714C" w:rsidP="00AC312D">
            <w:pPr>
              <w:rPr>
                <w:rFonts w:eastAsia="標楷體"/>
                <w:color w:val="000000" w:themeColor="text1"/>
                <w:sz w:val="26"/>
                <w:szCs w:val="26"/>
              </w:rPr>
            </w:pPr>
            <w:r w:rsidRPr="00AF2E9E">
              <w:rPr>
                <w:rFonts w:eastAsia="標楷體"/>
                <w:color w:val="000000" w:themeColor="text1"/>
                <w:sz w:val="26"/>
                <w:szCs w:val="26"/>
              </w:rPr>
              <w:t>老人心理學</w:t>
            </w:r>
          </w:p>
        </w:tc>
        <w:tc>
          <w:tcPr>
            <w:tcW w:w="1017" w:type="pct"/>
          </w:tcPr>
          <w:p w:rsidR="0042714C" w:rsidRPr="00AF2E9E" w:rsidRDefault="0042714C" w:rsidP="00AC312D">
            <w:pPr>
              <w:rPr>
                <w:rFonts w:eastAsia="標楷體"/>
                <w:color w:val="000000" w:themeColor="text1"/>
                <w:sz w:val="26"/>
                <w:szCs w:val="26"/>
              </w:rPr>
            </w:pPr>
            <w:r w:rsidRPr="00AF2E9E">
              <w:rPr>
                <w:rFonts w:eastAsia="標楷體"/>
                <w:color w:val="000000" w:themeColor="text1"/>
                <w:sz w:val="26"/>
                <w:szCs w:val="26"/>
              </w:rPr>
              <w:t>相關系所班級</w:t>
            </w:r>
          </w:p>
        </w:tc>
        <w:tc>
          <w:tcPr>
            <w:tcW w:w="678" w:type="pct"/>
          </w:tcPr>
          <w:p w:rsidR="0042714C" w:rsidRPr="00AF2E9E" w:rsidRDefault="0042714C" w:rsidP="00AC312D">
            <w:pPr>
              <w:jc w:val="center"/>
              <w:rPr>
                <w:rFonts w:eastAsia="標楷體"/>
                <w:color w:val="000000" w:themeColor="text1"/>
                <w:sz w:val="26"/>
                <w:szCs w:val="26"/>
              </w:rPr>
            </w:pPr>
            <w:r w:rsidRPr="00AF2E9E">
              <w:rPr>
                <w:rFonts w:eastAsia="標楷體"/>
                <w:color w:val="000000" w:themeColor="text1"/>
                <w:sz w:val="26"/>
                <w:szCs w:val="26"/>
              </w:rPr>
              <w:t>2</w:t>
            </w:r>
          </w:p>
        </w:tc>
        <w:tc>
          <w:tcPr>
            <w:tcW w:w="867" w:type="pct"/>
            <w:gridSpan w:val="2"/>
          </w:tcPr>
          <w:p w:rsidR="0042714C" w:rsidRPr="00AF2E9E" w:rsidRDefault="0042714C" w:rsidP="00AC312D">
            <w:pPr>
              <w:rPr>
                <w:rFonts w:eastAsia="標楷體"/>
                <w:color w:val="000000" w:themeColor="text1"/>
                <w:sz w:val="26"/>
                <w:szCs w:val="26"/>
              </w:rPr>
            </w:pPr>
          </w:p>
        </w:tc>
      </w:tr>
      <w:tr w:rsidR="0042714C" w:rsidRPr="00AF2E9E" w:rsidTr="00AC312D">
        <w:tc>
          <w:tcPr>
            <w:tcW w:w="2438" w:type="pct"/>
            <w:gridSpan w:val="2"/>
          </w:tcPr>
          <w:p w:rsidR="0042714C" w:rsidRPr="00AF2E9E" w:rsidRDefault="0042714C" w:rsidP="00AC312D">
            <w:pPr>
              <w:rPr>
                <w:rFonts w:eastAsia="標楷體"/>
                <w:color w:val="000000" w:themeColor="text1"/>
                <w:sz w:val="26"/>
                <w:szCs w:val="26"/>
              </w:rPr>
            </w:pPr>
            <w:r w:rsidRPr="00AF2E9E">
              <w:rPr>
                <w:rFonts w:eastAsia="標楷體"/>
                <w:color w:val="000000" w:themeColor="text1"/>
                <w:sz w:val="26"/>
                <w:szCs w:val="26"/>
              </w:rPr>
              <w:t>高齡教育</w:t>
            </w:r>
          </w:p>
        </w:tc>
        <w:tc>
          <w:tcPr>
            <w:tcW w:w="1017" w:type="pct"/>
          </w:tcPr>
          <w:p w:rsidR="0042714C" w:rsidRPr="00AF2E9E" w:rsidRDefault="0042714C" w:rsidP="00AC312D">
            <w:pPr>
              <w:rPr>
                <w:rFonts w:eastAsia="標楷體"/>
                <w:color w:val="000000" w:themeColor="text1"/>
                <w:sz w:val="26"/>
                <w:szCs w:val="26"/>
              </w:rPr>
            </w:pPr>
            <w:r w:rsidRPr="00AF2E9E">
              <w:rPr>
                <w:rFonts w:eastAsia="標楷體"/>
                <w:color w:val="000000" w:themeColor="text1"/>
                <w:sz w:val="26"/>
                <w:szCs w:val="26"/>
              </w:rPr>
              <w:t>相關系所班級</w:t>
            </w:r>
          </w:p>
        </w:tc>
        <w:tc>
          <w:tcPr>
            <w:tcW w:w="678" w:type="pct"/>
          </w:tcPr>
          <w:p w:rsidR="0042714C" w:rsidRPr="00AF2E9E" w:rsidRDefault="0042714C" w:rsidP="00AC312D">
            <w:pPr>
              <w:jc w:val="center"/>
              <w:rPr>
                <w:rFonts w:eastAsia="標楷體"/>
                <w:color w:val="000000" w:themeColor="text1"/>
                <w:sz w:val="26"/>
                <w:szCs w:val="26"/>
              </w:rPr>
            </w:pPr>
            <w:r w:rsidRPr="00AF2E9E">
              <w:rPr>
                <w:rFonts w:eastAsia="標楷體"/>
                <w:color w:val="000000" w:themeColor="text1"/>
                <w:sz w:val="26"/>
                <w:szCs w:val="26"/>
              </w:rPr>
              <w:t>2</w:t>
            </w:r>
          </w:p>
        </w:tc>
        <w:tc>
          <w:tcPr>
            <w:tcW w:w="867" w:type="pct"/>
            <w:gridSpan w:val="2"/>
          </w:tcPr>
          <w:p w:rsidR="0042714C" w:rsidRPr="00AF2E9E" w:rsidRDefault="0042714C" w:rsidP="00AC312D">
            <w:pPr>
              <w:rPr>
                <w:rFonts w:eastAsia="標楷體"/>
                <w:color w:val="000000" w:themeColor="text1"/>
                <w:sz w:val="26"/>
                <w:szCs w:val="26"/>
              </w:rPr>
            </w:pPr>
          </w:p>
        </w:tc>
      </w:tr>
      <w:tr w:rsidR="0042714C" w:rsidRPr="00AF2E9E" w:rsidTr="00AC312D">
        <w:tc>
          <w:tcPr>
            <w:tcW w:w="5000" w:type="pct"/>
            <w:gridSpan w:val="6"/>
          </w:tcPr>
          <w:p w:rsidR="0042714C" w:rsidRPr="00AF2E9E" w:rsidRDefault="0042714C" w:rsidP="00AC312D">
            <w:pPr>
              <w:rPr>
                <w:rFonts w:eastAsia="標楷體"/>
                <w:color w:val="000000" w:themeColor="text1"/>
                <w:sz w:val="26"/>
                <w:szCs w:val="26"/>
              </w:rPr>
            </w:pPr>
            <w:r w:rsidRPr="00AF2E9E">
              <w:rPr>
                <w:rFonts w:eastAsia="標楷體"/>
                <w:color w:val="000000" w:themeColor="text1"/>
                <w:sz w:val="26"/>
                <w:szCs w:val="26"/>
              </w:rPr>
              <w:t>備註</w:t>
            </w:r>
            <w:r w:rsidRPr="00AF2E9E">
              <w:rPr>
                <w:rFonts w:eastAsia="標楷體"/>
                <w:color w:val="000000" w:themeColor="text1"/>
                <w:sz w:val="26"/>
                <w:szCs w:val="26"/>
              </w:rPr>
              <w:t>:</w:t>
            </w:r>
          </w:p>
          <w:p w:rsidR="0042714C" w:rsidRPr="00AF2E9E" w:rsidRDefault="0042714C" w:rsidP="00360D3C">
            <w:pPr>
              <w:ind w:left="208" w:hangingChars="80" w:hanging="208"/>
              <w:jc w:val="both"/>
              <w:rPr>
                <w:rFonts w:eastAsia="標楷體"/>
                <w:color w:val="000000" w:themeColor="text1"/>
                <w:sz w:val="26"/>
                <w:szCs w:val="26"/>
              </w:rPr>
            </w:pPr>
            <w:r w:rsidRPr="00AF2E9E">
              <w:rPr>
                <w:rFonts w:eastAsia="標楷體"/>
                <w:color w:val="000000" w:themeColor="text1"/>
                <w:sz w:val="26"/>
                <w:szCs w:val="26"/>
              </w:rPr>
              <w:t>1.</w:t>
            </w:r>
            <w:r w:rsidRPr="00AF2E9E">
              <w:rPr>
                <w:rFonts w:eastAsia="標楷體"/>
                <w:color w:val="000000" w:themeColor="text1"/>
                <w:sz w:val="26"/>
                <w:szCs w:val="26"/>
              </w:rPr>
              <w:t>「人體生理學」得以學科「人體解剖生理學」、「健康行為科學」、「復健醫學概論」抵免之。</w:t>
            </w:r>
          </w:p>
          <w:p w:rsidR="0042714C" w:rsidRPr="00AF2E9E" w:rsidRDefault="0042714C" w:rsidP="00360D3C">
            <w:pPr>
              <w:ind w:left="208" w:hangingChars="80" w:hanging="208"/>
              <w:jc w:val="both"/>
              <w:rPr>
                <w:rFonts w:eastAsia="標楷體"/>
                <w:color w:val="000000" w:themeColor="text1"/>
                <w:sz w:val="26"/>
                <w:szCs w:val="26"/>
              </w:rPr>
            </w:pPr>
            <w:r w:rsidRPr="00AF2E9E">
              <w:rPr>
                <w:rFonts w:eastAsia="標楷體"/>
                <w:color w:val="000000" w:themeColor="text1"/>
                <w:sz w:val="26"/>
                <w:szCs w:val="26"/>
              </w:rPr>
              <w:t>2.</w:t>
            </w:r>
            <w:r w:rsidRPr="00AF2E9E">
              <w:rPr>
                <w:rFonts w:eastAsia="標楷體"/>
                <w:color w:val="000000" w:themeColor="text1"/>
                <w:sz w:val="26"/>
                <w:szCs w:val="26"/>
              </w:rPr>
              <w:t>「老人心理學」得以學科「</w:t>
            </w:r>
            <w:bookmarkStart w:id="1" w:name="_GoBack"/>
            <w:bookmarkEnd w:id="1"/>
            <w:r w:rsidRPr="00AF2E9E">
              <w:rPr>
                <w:rFonts w:eastAsia="標楷體"/>
                <w:color w:val="000000" w:themeColor="text1"/>
                <w:sz w:val="26"/>
                <w:szCs w:val="26"/>
              </w:rPr>
              <w:t>運動心理學」、「心理健康」、「輔導原理與實務」、「發展心理學」、「成人及老人心理諮商」抵免之。</w:t>
            </w:r>
          </w:p>
          <w:p w:rsidR="0042714C" w:rsidRPr="00AF2E9E" w:rsidRDefault="0042714C" w:rsidP="00360D3C">
            <w:pPr>
              <w:ind w:left="208" w:hangingChars="80" w:hanging="208"/>
              <w:jc w:val="both"/>
              <w:rPr>
                <w:rFonts w:eastAsia="標楷體"/>
                <w:color w:val="000000" w:themeColor="text1"/>
                <w:sz w:val="26"/>
                <w:szCs w:val="26"/>
              </w:rPr>
            </w:pPr>
            <w:r w:rsidRPr="00AF2E9E">
              <w:rPr>
                <w:rFonts w:eastAsia="標楷體"/>
                <w:color w:val="000000" w:themeColor="text1"/>
                <w:sz w:val="26"/>
                <w:szCs w:val="26"/>
              </w:rPr>
              <w:t>3.</w:t>
            </w:r>
            <w:r w:rsidRPr="00AF2E9E">
              <w:rPr>
                <w:rFonts w:eastAsia="標楷體"/>
                <w:color w:val="000000" w:themeColor="text1"/>
                <w:sz w:val="26"/>
                <w:szCs w:val="26"/>
              </w:rPr>
              <w:t>「高齡教育」得以學科「生涯發展與規劃」、「生命教育與輔導」、「生活管理」抵免之。</w:t>
            </w:r>
          </w:p>
        </w:tc>
      </w:tr>
      <w:tr w:rsidR="0042714C" w:rsidRPr="00AF2E9E" w:rsidTr="00AC312D">
        <w:tc>
          <w:tcPr>
            <w:tcW w:w="5000" w:type="pct"/>
            <w:gridSpan w:val="6"/>
            <w:shd w:val="clear" w:color="auto" w:fill="D9D9D9"/>
          </w:tcPr>
          <w:p w:rsidR="0042714C" w:rsidRPr="00AF2E9E" w:rsidRDefault="0042714C" w:rsidP="00AC312D">
            <w:pPr>
              <w:jc w:val="center"/>
              <w:rPr>
                <w:rFonts w:eastAsia="標楷體"/>
                <w:b/>
                <w:color w:val="000000" w:themeColor="text1"/>
                <w:sz w:val="26"/>
                <w:szCs w:val="26"/>
              </w:rPr>
            </w:pPr>
            <w:r w:rsidRPr="00AF2E9E">
              <w:rPr>
                <w:rFonts w:eastAsia="標楷體"/>
                <w:b/>
                <w:color w:val="000000" w:themeColor="text1"/>
                <w:sz w:val="26"/>
                <w:szCs w:val="26"/>
              </w:rPr>
              <w:t>專業選修課程</w:t>
            </w:r>
          </w:p>
        </w:tc>
      </w:tr>
      <w:tr w:rsidR="0042714C" w:rsidRPr="00AF2E9E" w:rsidTr="00AC312D">
        <w:tc>
          <w:tcPr>
            <w:tcW w:w="812" w:type="pct"/>
            <w:shd w:val="clear" w:color="auto" w:fill="D9D9D9"/>
          </w:tcPr>
          <w:p w:rsidR="0042714C" w:rsidRPr="00AF2E9E" w:rsidRDefault="0042714C" w:rsidP="00AC312D">
            <w:pPr>
              <w:jc w:val="center"/>
              <w:rPr>
                <w:rFonts w:eastAsia="標楷體"/>
                <w:color w:val="000000" w:themeColor="text1"/>
                <w:sz w:val="26"/>
                <w:szCs w:val="26"/>
              </w:rPr>
            </w:pPr>
            <w:r w:rsidRPr="00AF2E9E">
              <w:rPr>
                <w:rFonts w:eastAsia="標楷體"/>
                <w:color w:val="000000" w:themeColor="text1"/>
                <w:sz w:val="26"/>
                <w:szCs w:val="26"/>
              </w:rPr>
              <w:t>領域</w:t>
            </w:r>
          </w:p>
        </w:tc>
        <w:tc>
          <w:tcPr>
            <w:tcW w:w="3576" w:type="pct"/>
            <w:gridSpan w:val="4"/>
            <w:shd w:val="clear" w:color="auto" w:fill="D9D9D9"/>
          </w:tcPr>
          <w:p w:rsidR="0042714C" w:rsidRPr="00AF2E9E" w:rsidRDefault="0042714C" w:rsidP="00AC312D">
            <w:pPr>
              <w:jc w:val="center"/>
              <w:rPr>
                <w:rFonts w:eastAsia="標楷體"/>
                <w:color w:val="000000" w:themeColor="text1"/>
                <w:sz w:val="26"/>
                <w:szCs w:val="26"/>
              </w:rPr>
            </w:pPr>
            <w:r w:rsidRPr="00AF2E9E">
              <w:rPr>
                <w:rFonts w:eastAsia="標楷體"/>
                <w:color w:val="000000" w:themeColor="text1"/>
                <w:sz w:val="26"/>
                <w:szCs w:val="26"/>
              </w:rPr>
              <w:t>課程名稱</w:t>
            </w:r>
          </w:p>
        </w:tc>
        <w:tc>
          <w:tcPr>
            <w:tcW w:w="612" w:type="pct"/>
            <w:shd w:val="clear" w:color="auto" w:fill="D9D9D9"/>
          </w:tcPr>
          <w:p w:rsidR="0042714C" w:rsidRPr="00AF2E9E" w:rsidRDefault="0042714C" w:rsidP="00AC312D">
            <w:pPr>
              <w:jc w:val="center"/>
              <w:rPr>
                <w:rFonts w:eastAsia="標楷體"/>
                <w:color w:val="000000" w:themeColor="text1"/>
                <w:sz w:val="26"/>
                <w:szCs w:val="26"/>
              </w:rPr>
            </w:pPr>
            <w:r w:rsidRPr="00AF2E9E">
              <w:rPr>
                <w:rFonts w:eastAsia="標楷體"/>
                <w:color w:val="000000" w:themeColor="text1"/>
                <w:sz w:val="26"/>
                <w:szCs w:val="26"/>
              </w:rPr>
              <w:t>備註</w:t>
            </w:r>
          </w:p>
        </w:tc>
      </w:tr>
      <w:tr w:rsidR="0042714C" w:rsidRPr="00AF2E9E" w:rsidTr="00AC312D">
        <w:tc>
          <w:tcPr>
            <w:tcW w:w="812" w:type="pct"/>
            <w:vAlign w:val="center"/>
          </w:tcPr>
          <w:p w:rsidR="0042714C" w:rsidRPr="00AF2E9E" w:rsidRDefault="0042714C" w:rsidP="00AC312D">
            <w:pPr>
              <w:jc w:val="both"/>
              <w:rPr>
                <w:rFonts w:eastAsia="標楷體"/>
                <w:color w:val="000000" w:themeColor="text1"/>
                <w:sz w:val="26"/>
                <w:szCs w:val="26"/>
              </w:rPr>
            </w:pPr>
            <w:r w:rsidRPr="00AF2E9E">
              <w:rPr>
                <w:rFonts w:eastAsia="標楷體"/>
                <w:color w:val="000000" w:themeColor="text1"/>
                <w:sz w:val="26"/>
                <w:szCs w:val="26"/>
              </w:rPr>
              <w:t>1.</w:t>
            </w:r>
            <w:r w:rsidRPr="00AF2E9E">
              <w:rPr>
                <w:rFonts w:eastAsia="標楷體"/>
                <w:color w:val="000000" w:themeColor="text1"/>
                <w:sz w:val="26"/>
                <w:szCs w:val="26"/>
              </w:rPr>
              <w:t>高齡健康身心發展課程</w:t>
            </w:r>
          </w:p>
        </w:tc>
        <w:tc>
          <w:tcPr>
            <w:tcW w:w="3576" w:type="pct"/>
            <w:gridSpan w:val="4"/>
          </w:tcPr>
          <w:p w:rsidR="0042714C" w:rsidRPr="00AF2E9E" w:rsidRDefault="0042714C" w:rsidP="00360D3C">
            <w:pPr>
              <w:jc w:val="both"/>
              <w:rPr>
                <w:rFonts w:eastAsia="標楷體"/>
                <w:color w:val="000000" w:themeColor="text1"/>
                <w:sz w:val="26"/>
                <w:szCs w:val="26"/>
              </w:rPr>
            </w:pPr>
            <w:r w:rsidRPr="00AF2E9E">
              <w:rPr>
                <w:rFonts w:eastAsia="標楷體"/>
                <w:color w:val="000000" w:themeColor="text1"/>
                <w:sz w:val="26"/>
                <w:szCs w:val="26"/>
              </w:rPr>
              <w:t>1.</w:t>
            </w:r>
            <w:r w:rsidRPr="00AF2E9E">
              <w:rPr>
                <w:rFonts w:eastAsia="標楷體"/>
                <w:color w:val="000000" w:themeColor="text1"/>
                <w:sz w:val="26"/>
                <w:szCs w:val="26"/>
              </w:rPr>
              <w:t>運動與全人健康、</w:t>
            </w:r>
            <w:r w:rsidRPr="00AF2E9E">
              <w:rPr>
                <w:rFonts w:eastAsia="標楷體"/>
                <w:color w:val="000000" w:themeColor="text1"/>
                <w:sz w:val="26"/>
                <w:szCs w:val="26"/>
              </w:rPr>
              <w:t>2.</w:t>
            </w:r>
            <w:r w:rsidRPr="00AF2E9E">
              <w:rPr>
                <w:rFonts w:eastAsia="標楷體"/>
                <w:color w:val="000000" w:themeColor="text1"/>
                <w:sz w:val="26"/>
                <w:szCs w:val="26"/>
              </w:rPr>
              <w:t>高齡</w:t>
            </w:r>
            <w:proofErr w:type="gramStart"/>
            <w:r w:rsidRPr="00AF2E9E">
              <w:rPr>
                <w:rFonts w:eastAsia="標楷體"/>
                <w:color w:val="000000" w:themeColor="text1"/>
                <w:sz w:val="26"/>
                <w:szCs w:val="26"/>
              </w:rPr>
              <w:t>功能性體適</w:t>
            </w:r>
            <w:proofErr w:type="gramEnd"/>
            <w:r w:rsidRPr="00AF2E9E">
              <w:rPr>
                <w:rFonts w:eastAsia="標楷體"/>
                <w:color w:val="000000" w:themeColor="text1"/>
                <w:sz w:val="26"/>
                <w:szCs w:val="26"/>
              </w:rPr>
              <w:t>能與健康促進、</w:t>
            </w:r>
            <w:r w:rsidRPr="00AF2E9E">
              <w:rPr>
                <w:rFonts w:eastAsia="標楷體"/>
                <w:color w:val="000000" w:themeColor="text1"/>
                <w:sz w:val="26"/>
                <w:szCs w:val="26"/>
              </w:rPr>
              <w:t>3.</w:t>
            </w:r>
            <w:r w:rsidRPr="00AF2E9E">
              <w:rPr>
                <w:rFonts w:eastAsia="標楷體"/>
                <w:color w:val="000000" w:themeColor="text1"/>
                <w:sz w:val="26"/>
                <w:szCs w:val="26"/>
              </w:rPr>
              <w:t>運動醫學、</w:t>
            </w:r>
            <w:r w:rsidRPr="00AF2E9E">
              <w:rPr>
                <w:rFonts w:eastAsia="標楷體"/>
                <w:color w:val="000000" w:themeColor="text1"/>
                <w:sz w:val="26"/>
                <w:szCs w:val="26"/>
              </w:rPr>
              <w:t>4.</w:t>
            </w:r>
            <w:r w:rsidRPr="00AF2E9E">
              <w:rPr>
                <w:rFonts w:eastAsia="標楷體"/>
                <w:color w:val="000000" w:themeColor="text1"/>
                <w:sz w:val="26"/>
                <w:szCs w:val="26"/>
              </w:rPr>
              <w:t>運動與營養、</w:t>
            </w:r>
            <w:r w:rsidRPr="00AF2E9E">
              <w:rPr>
                <w:rFonts w:eastAsia="標楷體"/>
                <w:color w:val="000000" w:themeColor="text1"/>
                <w:sz w:val="26"/>
                <w:szCs w:val="26"/>
              </w:rPr>
              <w:t>5.</w:t>
            </w:r>
            <w:r w:rsidRPr="00AF2E9E">
              <w:rPr>
                <w:rFonts w:eastAsia="標楷體"/>
                <w:color w:val="000000" w:themeColor="text1"/>
                <w:sz w:val="26"/>
                <w:szCs w:val="26"/>
              </w:rPr>
              <w:t>家庭教育、</w:t>
            </w:r>
            <w:r w:rsidRPr="00AF2E9E">
              <w:rPr>
                <w:rFonts w:eastAsia="標楷體"/>
                <w:color w:val="000000" w:themeColor="text1"/>
                <w:sz w:val="26"/>
                <w:szCs w:val="26"/>
              </w:rPr>
              <w:t>6.</w:t>
            </w:r>
            <w:r w:rsidRPr="00AF2E9E">
              <w:rPr>
                <w:rFonts w:eastAsia="標楷體"/>
                <w:color w:val="000000" w:themeColor="text1"/>
                <w:sz w:val="26"/>
                <w:szCs w:val="26"/>
              </w:rPr>
              <w:t>正向行為支持模式、</w:t>
            </w:r>
            <w:r w:rsidRPr="00AF2E9E">
              <w:rPr>
                <w:rFonts w:eastAsia="標楷體"/>
                <w:color w:val="000000" w:themeColor="text1"/>
                <w:sz w:val="26"/>
                <w:szCs w:val="26"/>
              </w:rPr>
              <w:t>7.</w:t>
            </w:r>
            <w:r w:rsidRPr="00AF2E9E">
              <w:rPr>
                <w:rFonts w:eastAsia="標楷體"/>
                <w:color w:val="000000" w:themeColor="text1"/>
                <w:sz w:val="26"/>
                <w:szCs w:val="26"/>
              </w:rPr>
              <w:t>人際關係與溝通、</w:t>
            </w:r>
            <w:r w:rsidRPr="00AF2E9E">
              <w:rPr>
                <w:rFonts w:eastAsia="標楷體"/>
                <w:color w:val="000000" w:themeColor="text1"/>
                <w:sz w:val="26"/>
                <w:szCs w:val="26"/>
              </w:rPr>
              <w:t>8.</w:t>
            </w:r>
            <w:r w:rsidRPr="00AF2E9E">
              <w:rPr>
                <w:rFonts w:eastAsia="標楷體"/>
                <w:color w:val="000000" w:themeColor="text1"/>
                <w:sz w:val="26"/>
                <w:szCs w:val="26"/>
              </w:rPr>
              <w:t>哀傷諮商、</w:t>
            </w:r>
            <w:r w:rsidRPr="00AF2E9E">
              <w:rPr>
                <w:rFonts w:eastAsia="標楷體"/>
                <w:color w:val="000000" w:themeColor="text1"/>
                <w:sz w:val="26"/>
                <w:szCs w:val="26"/>
              </w:rPr>
              <w:t>9.</w:t>
            </w:r>
            <w:r w:rsidRPr="00AF2E9E">
              <w:rPr>
                <w:rFonts w:eastAsia="標楷體"/>
                <w:color w:val="000000" w:themeColor="text1"/>
                <w:sz w:val="26"/>
                <w:szCs w:val="26"/>
              </w:rPr>
              <w:t>特教導論</w:t>
            </w:r>
          </w:p>
        </w:tc>
        <w:tc>
          <w:tcPr>
            <w:tcW w:w="612" w:type="pct"/>
            <w:vAlign w:val="center"/>
          </w:tcPr>
          <w:p w:rsidR="0042714C" w:rsidRPr="00AF2E9E" w:rsidRDefault="0042714C" w:rsidP="00AC312D">
            <w:pPr>
              <w:jc w:val="both"/>
              <w:rPr>
                <w:rFonts w:eastAsia="標楷體"/>
                <w:color w:val="000000" w:themeColor="text1"/>
                <w:sz w:val="26"/>
                <w:szCs w:val="26"/>
              </w:rPr>
            </w:pPr>
            <w:r w:rsidRPr="00AF2E9E">
              <w:rPr>
                <w:rFonts w:eastAsia="標楷體"/>
                <w:color w:val="000000" w:themeColor="text1"/>
                <w:sz w:val="26"/>
                <w:szCs w:val="26"/>
              </w:rPr>
              <w:t>至少須修習及格</w:t>
            </w:r>
            <w:r w:rsidRPr="00AF2E9E">
              <w:rPr>
                <w:rFonts w:eastAsia="標楷體"/>
                <w:color w:val="000000" w:themeColor="text1"/>
                <w:sz w:val="26"/>
                <w:szCs w:val="26"/>
              </w:rPr>
              <w:t xml:space="preserve">2 </w:t>
            </w:r>
            <w:r w:rsidRPr="00AF2E9E">
              <w:rPr>
                <w:rFonts w:eastAsia="標楷體"/>
                <w:color w:val="000000" w:themeColor="text1"/>
                <w:sz w:val="26"/>
                <w:szCs w:val="26"/>
              </w:rPr>
              <w:t>學分</w:t>
            </w:r>
          </w:p>
        </w:tc>
      </w:tr>
      <w:tr w:rsidR="0042714C" w:rsidRPr="00AF2E9E" w:rsidTr="00AC312D">
        <w:tc>
          <w:tcPr>
            <w:tcW w:w="812" w:type="pct"/>
            <w:vAlign w:val="center"/>
          </w:tcPr>
          <w:p w:rsidR="0042714C" w:rsidRPr="00AF2E9E" w:rsidRDefault="0042714C" w:rsidP="00AC312D">
            <w:pPr>
              <w:jc w:val="both"/>
              <w:rPr>
                <w:rFonts w:eastAsia="標楷體"/>
                <w:color w:val="000000" w:themeColor="text1"/>
                <w:sz w:val="26"/>
                <w:szCs w:val="26"/>
              </w:rPr>
            </w:pPr>
            <w:r w:rsidRPr="00AF2E9E">
              <w:rPr>
                <w:rFonts w:eastAsia="標楷體"/>
                <w:color w:val="000000" w:themeColor="text1"/>
                <w:sz w:val="26"/>
                <w:szCs w:val="26"/>
              </w:rPr>
              <w:t>2.</w:t>
            </w:r>
            <w:r w:rsidRPr="00AF2E9E">
              <w:rPr>
                <w:rFonts w:eastAsia="標楷體"/>
                <w:color w:val="000000" w:themeColor="text1"/>
                <w:sz w:val="26"/>
                <w:szCs w:val="26"/>
              </w:rPr>
              <w:t>高齡健康行為與技術課程</w:t>
            </w:r>
          </w:p>
        </w:tc>
        <w:tc>
          <w:tcPr>
            <w:tcW w:w="3576" w:type="pct"/>
            <w:gridSpan w:val="4"/>
          </w:tcPr>
          <w:p w:rsidR="0042714C" w:rsidRPr="00AF2E9E" w:rsidRDefault="0042714C" w:rsidP="00360D3C">
            <w:pPr>
              <w:jc w:val="both"/>
              <w:rPr>
                <w:rFonts w:eastAsia="標楷體"/>
                <w:color w:val="000000" w:themeColor="text1"/>
                <w:sz w:val="26"/>
                <w:szCs w:val="26"/>
              </w:rPr>
            </w:pPr>
            <w:r w:rsidRPr="00AF2E9E">
              <w:rPr>
                <w:rFonts w:eastAsia="標楷體"/>
                <w:color w:val="000000" w:themeColor="text1"/>
                <w:sz w:val="26"/>
                <w:szCs w:val="26"/>
              </w:rPr>
              <w:t>1.</w:t>
            </w:r>
            <w:r w:rsidRPr="00AF2E9E">
              <w:rPr>
                <w:rFonts w:eastAsia="標楷體"/>
                <w:color w:val="000000" w:themeColor="text1"/>
                <w:sz w:val="26"/>
                <w:szCs w:val="26"/>
              </w:rPr>
              <w:t>安全教育與急救、</w:t>
            </w:r>
            <w:r w:rsidRPr="00AF2E9E">
              <w:rPr>
                <w:rFonts w:eastAsia="標楷體"/>
                <w:color w:val="000000" w:themeColor="text1"/>
                <w:sz w:val="26"/>
                <w:szCs w:val="26"/>
              </w:rPr>
              <w:t>2.</w:t>
            </w:r>
            <w:r w:rsidRPr="00AF2E9E">
              <w:rPr>
                <w:rFonts w:eastAsia="標楷體"/>
                <w:color w:val="000000" w:themeColor="text1"/>
                <w:sz w:val="26"/>
                <w:szCs w:val="26"/>
              </w:rPr>
              <w:t>表演藝術、</w:t>
            </w:r>
            <w:r w:rsidRPr="00AF2E9E">
              <w:rPr>
                <w:rFonts w:eastAsia="標楷體"/>
                <w:color w:val="000000" w:themeColor="text1"/>
                <w:sz w:val="26"/>
                <w:szCs w:val="26"/>
              </w:rPr>
              <w:t>3.</w:t>
            </w:r>
            <w:r w:rsidRPr="00AF2E9E">
              <w:rPr>
                <w:rFonts w:eastAsia="標楷體"/>
                <w:color w:val="000000" w:themeColor="text1"/>
                <w:sz w:val="26"/>
                <w:szCs w:val="26"/>
              </w:rPr>
              <w:t>活躍老化</w:t>
            </w:r>
            <w:proofErr w:type="gramStart"/>
            <w:r w:rsidRPr="00AF2E9E">
              <w:rPr>
                <w:rFonts w:eastAsia="標楷體"/>
                <w:color w:val="000000" w:themeColor="text1"/>
                <w:sz w:val="26"/>
                <w:szCs w:val="26"/>
              </w:rPr>
              <w:t>與防跌</w:t>
            </w:r>
            <w:proofErr w:type="gramEnd"/>
            <w:r w:rsidRPr="00AF2E9E">
              <w:rPr>
                <w:rFonts w:eastAsia="標楷體"/>
                <w:color w:val="000000" w:themeColor="text1"/>
                <w:sz w:val="26"/>
                <w:szCs w:val="26"/>
              </w:rPr>
              <w:t>、</w:t>
            </w:r>
            <w:r w:rsidRPr="00AF2E9E">
              <w:rPr>
                <w:rFonts w:eastAsia="標楷體"/>
                <w:color w:val="000000" w:themeColor="text1"/>
                <w:sz w:val="26"/>
                <w:szCs w:val="26"/>
              </w:rPr>
              <w:t>4.</w:t>
            </w:r>
            <w:r w:rsidRPr="00AF2E9E">
              <w:rPr>
                <w:rFonts w:eastAsia="標楷體"/>
                <w:color w:val="000000" w:themeColor="text1"/>
                <w:sz w:val="26"/>
                <w:szCs w:val="26"/>
              </w:rPr>
              <w:t>健康行為科學、</w:t>
            </w:r>
            <w:r w:rsidRPr="00AF2E9E">
              <w:rPr>
                <w:rFonts w:eastAsia="標楷體"/>
                <w:color w:val="000000" w:themeColor="text1"/>
                <w:sz w:val="26"/>
                <w:szCs w:val="26"/>
              </w:rPr>
              <w:t>5.</w:t>
            </w:r>
            <w:r w:rsidRPr="00AF2E9E">
              <w:rPr>
                <w:rFonts w:eastAsia="標楷體"/>
                <w:color w:val="000000" w:themeColor="text1"/>
                <w:sz w:val="26"/>
                <w:szCs w:val="26"/>
              </w:rPr>
              <w:t>肌力訓練、</w:t>
            </w:r>
            <w:r w:rsidRPr="00AF2E9E">
              <w:rPr>
                <w:rFonts w:eastAsia="標楷體"/>
                <w:color w:val="000000" w:themeColor="text1"/>
                <w:sz w:val="26"/>
                <w:szCs w:val="26"/>
              </w:rPr>
              <w:t>6.</w:t>
            </w:r>
            <w:r w:rsidRPr="00AF2E9E">
              <w:rPr>
                <w:rFonts w:eastAsia="標楷體"/>
                <w:color w:val="000000" w:themeColor="text1"/>
                <w:sz w:val="26"/>
                <w:szCs w:val="26"/>
              </w:rPr>
              <w:t>運動指壓與按摩、</w:t>
            </w:r>
            <w:r w:rsidRPr="00AF2E9E">
              <w:rPr>
                <w:rFonts w:eastAsia="標楷體"/>
                <w:color w:val="000000" w:themeColor="text1"/>
                <w:sz w:val="26"/>
                <w:szCs w:val="26"/>
              </w:rPr>
              <w:t>7.</w:t>
            </w:r>
            <w:r w:rsidRPr="00AF2E9E">
              <w:rPr>
                <w:rFonts w:eastAsia="標楷體"/>
                <w:color w:val="000000" w:themeColor="text1"/>
                <w:sz w:val="26"/>
                <w:szCs w:val="26"/>
              </w:rPr>
              <w:t>休閒教育與輔導、</w:t>
            </w:r>
            <w:r w:rsidRPr="00AF2E9E">
              <w:rPr>
                <w:rFonts w:eastAsia="標楷體"/>
                <w:color w:val="000000" w:themeColor="text1"/>
                <w:sz w:val="26"/>
                <w:szCs w:val="26"/>
              </w:rPr>
              <w:t>8.</w:t>
            </w:r>
            <w:r w:rsidRPr="00AF2E9E">
              <w:rPr>
                <w:rFonts w:eastAsia="標楷體"/>
                <w:color w:val="000000" w:themeColor="text1"/>
                <w:sz w:val="26"/>
                <w:szCs w:val="26"/>
              </w:rPr>
              <w:t>情緒管理與壓力調適、</w:t>
            </w:r>
            <w:r w:rsidRPr="00AF2E9E">
              <w:rPr>
                <w:rFonts w:eastAsia="標楷體"/>
                <w:color w:val="000000" w:themeColor="text1"/>
                <w:sz w:val="26"/>
                <w:szCs w:val="26"/>
              </w:rPr>
              <w:t>9.</w:t>
            </w:r>
            <w:r w:rsidRPr="00AF2E9E">
              <w:rPr>
                <w:rFonts w:eastAsia="標楷體"/>
                <w:color w:val="000000" w:themeColor="text1"/>
                <w:sz w:val="26"/>
                <w:szCs w:val="26"/>
              </w:rPr>
              <w:t>行為改變技術、</w:t>
            </w:r>
            <w:r w:rsidRPr="00AF2E9E">
              <w:rPr>
                <w:rFonts w:eastAsia="標楷體"/>
                <w:color w:val="000000" w:themeColor="text1"/>
                <w:sz w:val="26"/>
                <w:szCs w:val="26"/>
              </w:rPr>
              <w:t>10.</w:t>
            </w:r>
            <w:r w:rsidRPr="00AF2E9E">
              <w:rPr>
                <w:rFonts w:eastAsia="標楷體"/>
                <w:color w:val="000000" w:themeColor="text1"/>
                <w:sz w:val="26"/>
                <w:szCs w:val="26"/>
              </w:rPr>
              <w:t>遊戲治療、</w:t>
            </w:r>
            <w:r w:rsidRPr="00AF2E9E">
              <w:rPr>
                <w:rFonts w:eastAsia="標楷體"/>
                <w:color w:val="000000" w:themeColor="text1"/>
                <w:sz w:val="26"/>
                <w:szCs w:val="26"/>
              </w:rPr>
              <w:t>11.</w:t>
            </w:r>
            <w:r w:rsidRPr="00AF2E9E">
              <w:rPr>
                <w:rFonts w:eastAsia="標楷體"/>
                <w:color w:val="000000" w:themeColor="text1"/>
                <w:sz w:val="26"/>
                <w:szCs w:val="26"/>
              </w:rPr>
              <w:t>探索教育與體驗學習、</w:t>
            </w:r>
            <w:r w:rsidRPr="00AF2E9E">
              <w:rPr>
                <w:rFonts w:eastAsia="標楷體"/>
                <w:color w:val="000000" w:themeColor="text1"/>
                <w:sz w:val="26"/>
                <w:szCs w:val="26"/>
              </w:rPr>
              <w:t>12.</w:t>
            </w:r>
            <w:r w:rsidRPr="00AF2E9E">
              <w:rPr>
                <w:rFonts w:eastAsia="標楷體"/>
                <w:color w:val="000000" w:themeColor="text1"/>
                <w:sz w:val="26"/>
                <w:szCs w:val="26"/>
              </w:rPr>
              <w:t>表達性藝術治療、</w:t>
            </w:r>
            <w:r w:rsidRPr="00AF2E9E">
              <w:rPr>
                <w:rFonts w:eastAsia="標楷體"/>
                <w:color w:val="000000" w:themeColor="text1"/>
                <w:sz w:val="26"/>
                <w:szCs w:val="26"/>
              </w:rPr>
              <w:t>13.</w:t>
            </w:r>
            <w:r w:rsidRPr="00AF2E9E">
              <w:rPr>
                <w:rFonts w:eastAsia="標楷體"/>
                <w:color w:val="000000" w:themeColor="text1"/>
                <w:sz w:val="26"/>
                <w:szCs w:val="26"/>
              </w:rPr>
              <w:t>社會技能訓練、</w:t>
            </w:r>
            <w:r w:rsidRPr="00AF2E9E">
              <w:rPr>
                <w:rFonts w:eastAsia="標楷體"/>
                <w:color w:val="000000" w:themeColor="text1"/>
                <w:sz w:val="26"/>
                <w:szCs w:val="26"/>
              </w:rPr>
              <w:t>14.</w:t>
            </w:r>
            <w:r w:rsidRPr="00AF2E9E">
              <w:rPr>
                <w:rFonts w:eastAsia="標楷體"/>
                <w:color w:val="000000" w:themeColor="text1"/>
                <w:sz w:val="26"/>
                <w:szCs w:val="26"/>
              </w:rPr>
              <w:t>溝通訓練、</w:t>
            </w:r>
            <w:r w:rsidRPr="00AF2E9E">
              <w:rPr>
                <w:rFonts w:eastAsia="標楷體"/>
                <w:color w:val="000000" w:themeColor="text1"/>
                <w:sz w:val="26"/>
                <w:szCs w:val="26"/>
              </w:rPr>
              <w:t>15.</w:t>
            </w:r>
            <w:r w:rsidRPr="00AF2E9E">
              <w:rPr>
                <w:rFonts w:eastAsia="標楷體"/>
                <w:color w:val="000000" w:themeColor="text1"/>
                <w:sz w:val="26"/>
                <w:szCs w:val="26"/>
              </w:rPr>
              <w:t>應用行為分析</w:t>
            </w:r>
          </w:p>
        </w:tc>
        <w:tc>
          <w:tcPr>
            <w:tcW w:w="612" w:type="pct"/>
            <w:vAlign w:val="center"/>
          </w:tcPr>
          <w:p w:rsidR="0042714C" w:rsidRPr="00AF2E9E" w:rsidRDefault="0042714C" w:rsidP="00AC312D">
            <w:pPr>
              <w:jc w:val="both"/>
              <w:rPr>
                <w:rFonts w:eastAsia="標楷體"/>
                <w:color w:val="000000" w:themeColor="text1"/>
                <w:sz w:val="26"/>
                <w:szCs w:val="26"/>
              </w:rPr>
            </w:pPr>
            <w:r w:rsidRPr="00AF2E9E">
              <w:rPr>
                <w:rFonts w:eastAsia="標楷體"/>
                <w:color w:val="000000" w:themeColor="text1"/>
                <w:sz w:val="26"/>
                <w:szCs w:val="26"/>
              </w:rPr>
              <w:t>至少須修習及格</w:t>
            </w:r>
            <w:r w:rsidRPr="00AF2E9E">
              <w:rPr>
                <w:rFonts w:eastAsia="標楷體"/>
                <w:color w:val="000000" w:themeColor="text1"/>
                <w:sz w:val="26"/>
                <w:szCs w:val="26"/>
              </w:rPr>
              <w:t xml:space="preserve">2 </w:t>
            </w:r>
            <w:r w:rsidRPr="00AF2E9E">
              <w:rPr>
                <w:rFonts w:eastAsia="標楷體"/>
                <w:color w:val="000000" w:themeColor="text1"/>
                <w:sz w:val="26"/>
                <w:szCs w:val="26"/>
              </w:rPr>
              <w:t>學分</w:t>
            </w:r>
          </w:p>
        </w:tc>
      </w:tr>
      <w:tr w:rsidR="0042714C" w:rsidRPr="00AF2E9E" w:rsidTr="00AC312D">
        <w:tc>
          <w:tcPr>
            <w:tcW w:w="812" w:type="pct"/>
            <w:vAlign w:val="center"/>
          </w:tcPr>
          <w:p w:rsidR="0042714C" w:rsidRPr="00AF2E9E" w:rsidRDefault="0042714C" w:rsidP="00AC312D">
            <w:pPr>
              <w:spacing w:line="360" w:lineRule="exact"/>
              <w:jc w:val="both"/>
              <w:rPr>
                <w:rFonts w:eastAsia="標楷體"/>
                <w:color w:val="000000" w:themeColor="text1"/>
                <w:sz w:val="26"/>
                <w:szCs w:val="26"/>
              </w:rPr>
            </w:pPr>
            <w:r w:rsidRPr="00AF2E9E">
              <w:rPr>
                <w:rFonts w:eastAsia="標楷體"/>
                <w:color w:val="000000" w:themeColor="text1"/>
                <w:sz w:val="26"/>
                <w:szCs w:val="26"/>
              </w:rPr>
              <w:t>3.</w:t>
            </w:r>
            <w:r w:rsidRPr="00AF2E9E">
              <w:rPr>
                <w:rFonts w:eastAsia="標楷體"/>
                <w:color w:val="000000" w:themeColor="text1"/>
                <w:sz w:val="26"/>
                <w:szCs w:val="26"/>
              </w:rPr>
              <w:t>實務應用課程</w:t>
            </w:r>
          </w:p>
        </w:tc>
        <w:tc>
          <w:tcPr>
            <w:tcW w:w="3576" w:type="pct"/>
            <w:gridSpan w:val="4"/>
          </w:tcPr>
          <w:p w:rsidR="0042714C" w:rsidRPr="00AF2E9E" w:rsidRDefault="0042714C" w:rsidP="00360D3C">
            <w:pPr>
              <w:jc w:val="both"/>
              <w:rPr>
                <w:rFonts w:eastAsia="標楷體"/>
                <w:color w:val="000000" w:themeColor="text1"/>
                <w:sz w:val="26"/>
                <w:szCs w:val="26"/>
              </w:rPr>
            </w:pPr>
            <w:r w:rsidRPr="00AF2E9E">
              <w:rPr>
                <w:rFonts w:eastAsia="標楷體"/>
                <w:color w:val="000000" w:themeColor="text1"/>
                <w:sz w:val="26"/>
                <w:szCs w:val="26"/>
              </w:rPr>
              <w:t>1.</w:t>
            </w:r>
            <w:r w:rsidRPr="00AF2E9E">
              <w:rPr>
                <w:rFonts w:eastAsia="標楷體"/>
                <w:color w:val="000000" w:themeColor="text1"/>
                <w:sz w:val="26"/>
                <w:szCs w:val="26"/>
              </w:rPr>
              <w:t>課程設計與發展、</w:t>
            </w:r>
            <w:r w:rsidRPr="00AF2E9E">
              <w:rPr>
                <w:rFonts w:eastAsia="標楷體"/>
                <w:color w:val="000000" w:themeColor="text1"/>
                <w:sz w:val="26"/>
                <w:szCs w:val="26"/>
              </w:rPr>
              <w:t>2.</w:t>
            </w:r>
            <w:r w:rsidRPr="00AF2E9E">
              <w:rPr>
                <w:rFonts w:eastAsia="標楷體"/>
                <w:color w:val="000000" w:themeColor="text1"/>
                <w:sz w:val="26"/>
                <w:szCs w:val="26"/>
              </w:rPr>
              <w:t>運動休閒遊憩企劃與管理、</w:t>
            </w:r>
            <w:r w:rsidRPr="00AF2E9E">
              <w:rPr>
                <w:rFonts w:eastAsia="標楷體"/>
                <w:color w:val="000000" w:themeColor="text1"/>
                <w:sz w:val="26"/>
                <w:szCs w:val="26"/>
              </w:rPr>
              <w:t>3.</w:t>
            </w:r>
            <w:proofErr w:type="gramStart"/>
            <w:r w:rsidRPr="00AF2E9E">
              <w:rPr>
                <w:rFonts w:eastAsia="標楷體"/>
                <w:color w:val="000000" w:themeColor="text1"/>
                <w:sz w:val="26"/>
                <w:szCs w:val="26"/>
              </w:rPr>
              <w:t>樂齡運動</w:t>
            </w:r>
            <w:proofErr w:type="gramEnd"/>
            <w:r w:rsidRPr="00AF2E9E">
              <w:rPr>
                <w:rFonts w:eastAsia="標楷體"/>
                <w:color w:val="000000" w:themeColor="text1"/>
                <w:sz w:val="26"/>
                <w:szCs w:val="26"/>
              </w:rPr>
              <w:t>課程設計與教案撰寫、</w:t>
            </w:r>
            <w:r w:rsidRPr="00AF2E9E">
              <w:rPr>
                <w:rFonts w:eastAsia="標楷體"/>
                <w:color w:val="000000" w:themeColor="text1"/>
                <w:sz w:val="26"/>
                <w:szCs w:val="26"/>
              </w:rPr>
              <w:t>4.</w:t>
            </w:r>
            <w:proofErr w:type="gramStart"/>
            <w:r w:rsidRPr="00AF2E9E">
              <w:rPr>
                <w:rFonts w:eastAsia="標楷體"/>
                <w:color w:val="000000" w:themeColor="text1"/>
                <w:sz w:val="26"/>
                <w:szCs w:val="26"/>
              </w:rPr>
              <w:t>樂齡運動</w:t>
            </w:r>
            <w:proofErr w:type="gramEnd"/>
            <w:r w:rsidRPr="00AF2E9E">
              <w:rPr>
                <w:rFonts w:eastAsia="標楷體"/>
                <w:color w:val="000000" w:themeColor="text1"/>
                <w:sz w:val="26"/>
                <w:szCs w:val="26"/>
              </w:rPr>
              <w:t>指導實習、</w:t>
            </w:r>
            <w:r w:rsidRPr="00AF2E9E">
              <w:rPr>
                <w:rFonts w:eastAsia="標楷體"/>
                <w:color w:val="000000" w:themeColor="text1"/>
                <w:sz w:val="26"/>
                <w:szCs w:val="26"/>
              </w:rPr>
              <w:t>5.</w:t>
            </w:r>
            <w:r w:rsidRPr="00AF2E9E">
              <w:rPr>
                <w:rFonts w:eastAsia="標楷體"/>
                <w:color w:val="000000" w:themeColor="text1"/>
                <w:sz w:val="26"/>
                <w:szCs w:val="26"/>
              </w:rPr>
              <w:t>運動休閒俱樂部管理、</w:t>
            </w:r>
            <w:r w:rsidRPr="00AF2E9E">
              <w:rPr>
                <w:rFonts w:eastAsia="標楷體"/>
                <w:color w:val="000000" w:themeColor="text1"/>
                <w:sz w:val="26"/>
                <w:szCs w:val="26"/>
              </w:rPr>
              <w:t>6.</w:t>
            </w:r>
            <w:r w:rsidRPr="00AF2E9E">
              <w:rPr>
                <w:rFonts w:eastAsia="標楷體"/>
                <w:color w:val="000000" w:themeColor="text1"/>
                <w:sz w:val="26"/>
                <w:szCs w:val="26"/>
              </w:rPr>
              <w:t>專題研究、</w:t>
            </w:r>
            <w:r w:rsidRPr="00AF2E9E">
              <w:rPr>
                <w:rFonts w:eastAsia="標楷體"/>
                <w:color w:val="000000" w:themeColor="text1"/>
                <w:sz w:val="26"/>
                <w:szCs w:val="26"/>
              </w:rPr>
              <w:t>7.</w:t>
            </w:r>
            <w:r w:rsidRPr="00AF2E9E">
              <w:rPr>
                <w:rFonts w:eastAsia="標楷體"/>
                <w:color w:val="000000" w:themeColor="text1"/>
                <w:sz w:val="26"/>
                <w:szCs w:val="26"/>
              </w:rPr>
              <w:t>生涯規劃課程設計與實施、</w:t>
            </w:r>
            <w:r w:rsidRPr="00AF2E9E">
              <w:rPr>
                <w:rFonts w:eastAsia="標楷體"/>
                <w:color w:val="000000" w:themeColor="text1"/>
                <w:sz w:val="26"/>
                <w:szCs w:val="26"/>
              </w:rPr>
              <w:t>8.</w:t>
            </w:r>
            <w:r w:rsidRPr="00AF2E9E">
              <w:rPr>
                <w:rFonts w:eastAsia="標楷體"/>
                <w:color w:val="000000" w:themeColor="text1"/>
                <w:sz w:val="26"/>
                <w:szCs w:val="26"/>
              </w:rPr>
              <w:t>諮商實習、</w:t>
            </w:r>
            <w:r w:rsidRPr="00AF2E9E">
              <w:rPr>
                <w:rFonts w:eastAsia="標楷體"/>
                <w:color w:val="000000" w:themeColor="text1"/>
                <w:sz w:val="26"/>
                <w:szCs w:val="26"/>
              </w:rPr>
              <w:t>9.</w:t>
            </w:r>
            <w:r w:rsidRPr="00AF2E9E">
              <w:rPr>
                <w:rFonts w:eastAsia="標楷體"/>
                <w:color w:val="000000" w:themeColor="text1"/>
                <w:sz w:val="26"/>
                <w:szCs w:val="26"/>
              </w:rPr>
              <w:t>身心障礙專題研究、</w:t>
            </w:r>
            <w:r w:rsidRPr="00AF2E9E">
              <w:rPr>
                <w:rFonts w:eastAsia="標楷體"/>
                <w:color w:val="000000" w:themeColor="text1"/>
                <w:sz w:val="26"/>
                <w:szCs w:val="26"/>
              </w:rPr>
              <w:t>10.</w:t>
            </w:r>
            <w:r w:rsidRPr="00AF2E9E">
              <w:rPr>
                <w:rFonts w:eastAsia="標楷體"/>
                <w:color w:val="000000" w:themeColor="text1"/>
                <w:sz w:val="26"/>
                <w:szCs w:val="26"/>
              </w:rPr>
              <w:t>專業實習</w:t>
            </w:r>
          </w:p>
        </w:tc>
        <w:tc>
          <w:tcPr>
            <w:tcW w:w="612" w:type="pct"/>
            <w:vAlign w:val="center"/>
          </w:tcPr>
          <w:p w:rsidR="0042714C" w:rsidRPr="00AF2E9E" w:rsidRDefault="0042714C" w:rsidP="00AC312D">
            <w:pPr>
              <w:jc w:val="both"/>
              <w:rPr>
                <w:rFonts w:eastAsia="標楷體"/>
                <w:color w:val="000000" w:themeColor="text1"/>
                <w:sz w:val="26"/>
                <w:szCs w:val="26"/>
              </w:rPr>
            </w:pPr>
            <w:r w:rsidRPr="00AF2E9E">
              <w:rPr>
                <w:rFonts w:eastAsia="標楷體"/>
                <w:color w:val="000000" w:themeColor="text1"/>
                <w:sz w:val="26"/>
                <w:szCs w:val="26"/>
              </w:rPr>
              <w:t>至少須修習及格</w:t>
            </w:r>
            <w:r w:rsidRPr="00AF2E9E">
              <w:rPr>
                <w:rFonts w:eastAsia="標楷體"/>
                <w:color w:val="000000" w:themeColor="text1"/>
                <w:sz w:val="26"/>
                <w:szCs w:val="26"/>
              </w:rPr>
              <w:t xml:space="preserve">2 </w:t>
            </w:r>
            <w:r w:rsidRPr="00AF2E9E">
              <w:rPr>
                <w:rFonts w:eastAsia="標楷體"/>
                <w:color w:val="000000" w:themeColor="text1"/>
                <w:sz w:val="26"/>
                <w:szCs w:val="26"/>
              </w:rPr>
              <w:t>學分</w:t>
            </w:r>
          </w:p>
        </w:tc>
      </w:tr>
      <w:tr w:rsidR="0042714C" w:rsidRPr="00AF2E9E" w:rsidTr="00AC312D">
        <w:tc>
          <w:tcPr>
            <w:tcW w:w="5000" w:type="pct"/>
            <w:gridSpan w:val="6"/>
            <w:vAlign w:val="center"/>
          </w:tcPr>
          <w:p w:rsidR="0042714C" w:rsidRPr="00AF2E9E" w:rsidRDefault="0042714C" w:rsidP="00360D3C">
            <w:pPr>
              <w:jc w:val="both"/>
              <w:rPr>
                <w:rFonts w:eastAsia="標楷體"/>
                <w:color w:val="000000" w:themeColor="text1"/>
                <w:sz w:val="26"/>
                <w:szCs w:val="26"/>
              </w:rPr>
            </w:pPr>
            <w:r w:rsidRPr="00AF2E9E">
              <w:rPr>
                <w:rFonts w:eastAsia="標楷體"/>
                <w:color w:val="000000" w:themeColor="text1"/>
                <w:sz w:val="26"/>
                <w:szCs w:val="26"/>
              </w:rPr>
              <w:t>備註：</w:t>
            </w:r>
          </w:p>
          <w:p w:rsidR="0042714C" w:rsidRPr="00AF2E9E" w:rsidRDefault="0042714C" w:rsidP="00360D3C">
            <w:pPr>
              <w:ind w:left="208" w:hangingChars="80" w:hanging="208"/>
              <w:jc w:val="both"/>
              <w:rPr>
                <w:rFonts w:eastAsia="標楷體"/>
                <w:color w:val="000000" w:themeColor="text1"/>
                <w:sz w:val="26"/>
                <w:szCs w:val="26"/>
              </w:rPr>
            </w:pPr>
            <w:r w:rsidRPr="00AF2E9E">
              <w:rPr>
                <w:rFonts w:eastAsia="標楷體"/>
                <w:color w:val="000000" w:themeColor="text1"/>
                <w:sz w:val="26"/>
                <w:szCs w:val="26"/>
              </w:rPr>
              <w:t>1.</w:t>
            </w:r>
            <w:r w:rsidRPr="00AF2E9E">
              <w:rPr>
                <w:rFonts w:eastAsia="標楷體"/>
                <w:color w:val="000000" w:themeColor="text1"/>
                <w:sz w:val="26"/>
                <w:szCs w:val="26"/>
              </w:rPr>
              <w:t>本學程必修與選修課程名稱、學分數，得由相關科系所就其專業課程提報本學程委員會審核認定相抵之。</w:t>
            </w:r>
          </w:p>
          <w:p w:rsidR="0042714C" w:rsidRPr="00AF2E9E" w:rsidRDefault="0042714C" w:rsidP="00360D3C">
            <w:pPr>
              <w:ind w:left="208" w:hangingChars="80" w:hanging="208"/>
              <w:jc w:val="both"/>
              <w:rPr>
                <w:rFonts w:eastAsia="標楷體"/>
                <w:color w:val="000000" w:themeColor="text1"/>
                <w:sz w:val="26"/>
                <w:szCs w:val="26"/>
              </w:rPr>
            </w:pPr>
            <w:r w:rsidRPr="00AF2E9E">
              <w:rPr>
                <w:rFonts w:eastAsia="標楷體"/>
                <w:color w:val="000000" w:themeColor="text1"/>
                <w:sz w:val="26"/>
                <w:szCs w:val="26"/>
              </w:rPr>
              <w:t>2.</w:t>
            </w:r>
            <w:r w:rsidRPr="00AF2E9E">
              <w:rPr>
                <w:rFonts w:eastAsia="標楷體"/>
                <w:color w:val="000000" w:themeColor="text1"/>
                <w:sz w:val="26"/>
                <w:szCs w:val="26"/>
              </w:rPr>
              <w:t>實務應用課程中，專題研究</w:t>
            </w:r>
            <w:r w:rsidRPr="00AF2E9E">
              <w:rPr>
                <w:rFonts w:eastAsia="標楷體"/>
                <w:color w:val="000000" w:themeColor="text1"/>
                <w:sz w:val="26"/>
                <w:szCs w:val="26"/>
              </w:rPr>
              <w:t xml:space="preserve">(Ⅰ)(Ⅱ) </w:t>
            </w:r>
            <w:r w:rsidRPr="00AF2E9E">
              <w:rPr>
                <w:rFonts w:eastAsia="標楷體"/>
                <w:color w:val="000000" w:themeColor="text1"/>
                <w:sz w:val="26"/>
                <w:szCs w:val="26"/>
              </w:rPr>
              <w:t>或諮商實習</w:t>
            </w:r>
            <w:r w:rsidRPr="00AF2E9E">
              <w:rPr>
                <w:rFonts w:eastAsia="標楷體"/>
                <w:color w:val="000000" w:themeColor="text1"/>
                <w:sz w:val="26"/>
                <w:szCs w:val="26"/>
              </w:rPr>
              <w:t>(Ⅰ)(Ⅱ)</w:t>
            </w:r>
            <w:r w:rsidRPr="00AF2E9E">
              <w:rPr>
                <w:rFonts w:eastAsia="標楷體"/>
                <w:color w:val="000000" w:themeColor="text1"/>
                <w:sz w:val="26"/>
                <w:szCs w:val="26"/>
              </w:rPr>
              <w:t>各自最多可</w:t>
            </w:r>
            <w:proofErr w:type="gramStart"/>
            <w:r w:rsidRPr="00AF2E9E">
              <w:rPr>
                <w:rFonts w:eastAsia="標楷體"/>
                <w:color w:val="000000" w:themeColor="text1"/>
                <w:sz w:val="26"/>
                <w:szCs w:val="26"/>
              </w:rPr>
              <w:t>採</w:t>
            </w:r>
            <w:proofErr w:type="gramEnd"/>
            <w:r w:rsidRPr="00AF2E9E">
              <w:rPr>
                <w:rFonts w:eastAsia="標楷體"/>
                <w:color w:val="000000" w:themeColor="text1"/>
                <w:sz w:val="26"/>
                <w:szCs w:val="26"/>
              </w:rPr>
              <w:t>計</w:t>
            </w:r>
            <w:r w:rsidRPr="00AF2E9E">
              <w:rPr>
                <w:rFonts w:eastAsia="標楷體"/>
                <w:color w:val="000000" w:themeColor="text1"/>
                <w:sz w:val="26"/>
                <w:szCs w:val="26"/>
              </w:rPr>
              <w:t>2</w:t>
            </w:r>
            <w:r w:rsidRPr="00AF2E9E">
              <w:rPr>
                <w:rFonts w:eastAsia="標楷體"/>
                <w:color w:val="000000" w:themeColor="text1"/>
                <w:sz w:val="26"/>
                <w:szCs w:val="26"/>
              </w:rPr>
              <w:t>學分。</w:t>
            </w:r>
          </w:p>
          <w:p w:rsidR="0042714C" w:rsidRPr="00AF2E9E" w:rsidRDefault="0042714C" w:rsidP="00360D3C">
            <w:pPr>
              <w:ind w:left="208" w:hangingChars="80" w:hanging="208"/>
              <w:jc w:val="both"/>
              <w:rPr>
                <w:rFonts w:eastAsia="標楷體"/>
                <w:color w:val="000000" w:themeColor="text1"/>
                <w:sz w:val="26"/>
                <w:szCs w:val="26"/>
              </w:rPr>
            </w:pPr>
            <w:r w:rsidRPr="00AF2E9E">
              <w:rPr>
                <w:rFonts w:eastAsia="標楷體"/>
                <w:color w:val="000000" w:themeColor="text1"/>
                <w:sz w:val="26"/>
                <w:szCs w:val="26"/>
              </w:rPr>
              <w:t>3.</w:t>
            </w:r>
            <w:r w:rsidRPr="00AF2E9E">
              <w:rPr>
                <w:rFonts w:eastAsia="標楷體"/>
                <w:color w:val="000000" w:themeColor="text1"/>
                <w:sz w:val="26"/>
                <w:szCs w:val="26"/>
              </w:rPr>
              <w:t>「專業實習」需實習內容與銀髮健康輔導學程相關且最多可承認為本學程學分數</w:t>
            </w:r>
            <w:r w:rsidRPr="00AF2E9E">
              <w:rPr>
                <w:rFonts w:eastAsia="標楷體"/>
                <w:color w:val="000000" w:themeColor="text1"/>
                <w:sz w:val="26"/>
                <w:szCs w:val="26"/>
              </w:rPr>
              <w:t>2</w:t>
            </w:r>
            <w:r w:rsidRPr="00AF2E9E">
              <w:rPr>
                <w:rFonts w:eastAsia="標楷體"/>
                <w:color w:val="000000" w:themeColor="text1"/>
                <w:sz w:val="26"/>
                <w:szCs w:val="26"/>
              </w:rPr>
              <w:t>學分。</w:t>
            </w:r>
          </w:p>
          <w:p w:rsidR="0042714C" w:rsidRPr="00AF2E9E" w:rsidRDefault="0042714C" w:rsidP="00360D3C">
            <w:pPr>
              <w:ind w:left="208" w:hangingChars="80" w:hanging="208"/>
              <w:jc w:val="both"/>
              <w:rPr>
                <w:rFonts w:eastAsia="標楷體"/>
                <w:color w:val="000000" w:themeColor="text1"/>
                <w:sz w:val="26"/>
                <w:szCs w:val="26"/>
              </w:rPr>
            </w:pPr>
            <w:r w:rsidRPr="00AF2E9E">
              <w:rPr>
                <w:rFonts w:eastAsia="標楷體"/>
                <w:color w:val="000000" w:themeColor="text1"/>
                <w:sz w:val="26"/>
                <w:szCs w:val="26"/>
              </w:rPr>
              <w:t>4.</w:t>
            </w:r>
            <w:r w:rsidRPr="00AF2E9E">
              <w:rPr>
                <w:rFonts w:eastAsia="標楷體"/>
                <w:color w:val="000000" w:themeColor="text1"/>
                <w:sz w:val="26"/>
                <w:szCs w:val="26"/>
              </w:rPr>
              <w:t>修習「銀髮健康輔導」學程之學生，每學年需至少參加一次「銀髮健康輔導」學程相關所辦理的工作坊或研習</w:t>
            </w:r>
            <w:r w:rsidRPr="00AF2E9E">
              <w:rPr>
                <w:rFonts w:eastAsia="標楷體"/>
                <w:color w:val="000000" w:themeColor="text1"/>
                <w:sz w:val="26"/>
                <w:szCs w:val="26"/>
              </w:rPr>
              <w:t>(</w:t>
            </w:r>
            <w:r w:rsidRPr="00AF2E9E">
              <w:rPr>
                <w:rFonts w:eastAsia="標楷體"/>
                <w:color w:val="000000" w:themeColor="text1"/>
                <w:sz w:val="26"/>
                <w:szCs w:val="26"/>
              </w:rPr>
              <w:t>討</w:t>
            </w:r>
            <w:r w:rsidRPr="00AF2E9E">
              <w:rPr>
                <w:rFonts w:eastAsia="標楷體"/>
                <w:color w:val="000000" w:themeColor="text1"/>
                <w:sz w:val="26"/>
                <w:szCs w:val="26"/>
              </w:rPr>
              <w:t>)</w:t>
            </w:r>
            <w:r w:rsidRPr="00AF2E9E">
              <w:rPr>
                <w:rFonts w:eastAsia="標楷體"/>
                <w:color w:val="000000" w:themeColor="text1"/>
                <w:sz w:val="26"/>
                <w:szCs w:val="26"/>
              </w:rPr>
              <w:t>會</w:t>
            </w:r>
            <w:r w:rsidRPr="00AF2E9E">
              <w:rPr>
                <w:rFonts w:eastAsia="標楷體"/>
                <w:color w:val="000000" w:themeColor="text1"/>
                <w:sz w:val="26"/>
                <w:szCs w:val="26"/>
              </w:rPr>
              <w:t>(</w:t>
            </w:r>
            <w:r w:rsidRPr="00AF2E9E">
              <w:rPr>
                <w:rFonts w:eastAsia="標楷體"/>
                <w:color w:val="000000" w:themeColor="text1"/>
                <w:sz w:val="26"/>
                <w:szCs w:val="26"/>
              </w:rPr>
              <w:t>由銀髮健康輔導學程委員會核准辦理者</w:t>
            </w:r>
            <w:r w:rsidRPr="00AF2E9E">
              <w:rPr>
                <w:rFonts w:eastAsia="標楷體"/>
                <w:color w:val="000000" w:themeColor="text1"/>
                <w:sz w:val="26"/>
                <w:szCs w:val="26"/>
              </w:rPr>
              <w:t>)</w:t>
            </w:r>
            <w:r w:rsidRPr="00AF2E9E">
              <w:rPr>
                <w:rFonts w:eastAsia="標楷體"/>
                <w:color w:val="000000" w:themeColor="text1"/>
                <w:sz w:val="26"/>
                <w:szCs w:val="26"/>
              </w:rPr>
              <w:t>，於取得本學程前應至少完成三次</w:t>
            </w:r>
            <w:r w:rsidRPr="00AF2E9E">
              <w:rPr>
                <w:rFonts w:eastAsia="標楷體"/>
                <w:color w:val="000000" w:themeColor="text1"/>
                <w:sz w:val="26"/>
                <w:szCs w:val="26"/>
              </w:rPr>
              <w:t>(</w:t>
            </w:r>
            <w:r w:rsidRPr="00AF2E9E">
              <w:rPr>
                <w:rFonts w:eastAsia="標楷體"/>
                <w:color w:val="000000" w:themeColor="text1"/>
                <w:sz w:val="26"/>
                <w:szCs w:val="26"/>
              </w:rPr>
              <w:t>含</w:t>
            </w:r>
            <w:r w:rsidRPr="00AF2E9E">
              <w:rPr>
                <w:rFonts w:eastAsia="標楷體"/>
                <w:color w:val="000000" w:themeColor="text1"/>
                <w:sz w:val="26"/>
                <w:szCs w:val="26"/>
              </w:rPr>
              <w:t>)</w:t>
            </w:r>
            <w:r w:rsidRPr="00AF2E9E">
              <w:rPr>
                <w:rFonts w:eastAsia="標楷體"/>
                <w:color w:val="000000" w:themeColor="text1"/>
                <w:sz w:val="26"/>
                <w:szCs w:val="26"/>
              </w:rPr>
              <w:t>以上，方可取得本學程之證明。</w:t>
            </w:r>
          </w:p>
        </w:tc>
      </w:tr>
    </w:tbl>
    <w:p w:rsidR="00544BE9" w:rsidRPr="0042714C" w:rsidRDefault="00544BE9" w:rsidP="00BA30C6"/>
    <w:sectPr w:rsidR="00544BE9" w:rsidRPr="0042714C" w:rsidSect="003071BE">
      <w:pgSz w:w="11906" w:h="16838" w:code="9"/>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174" w:rsidRDefault="00764174" w:rsidP="00BE53D4">
      <w:r>
        <w:separator/>
      </w:r>
    </w:p>
  </w:endnote>
  <w:endnote w:type="continuationSeparator" w:id="0">
    <w:p w:rsidR="00764174" w:rsidRDefault="00764174" w:rsidP="00BE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174" w:rsidRDefault="00764174" w:rsidP="00BE53D4">
      <w:r>
        <w:separator/>
      </w:r>
    </w:p>
  </w:footnote>
  <w:footnote w:type="continuationSeparator" w:id="0">
    <w:p w:rsidR="00764174" w:rsidRDefault="00764174" w:rsidP="00BE5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0C6"/>
    <w:rsid w:val="000261E6"/>
    <w:rsid w:val="001C7FDB"/>
    <w:rsid w:val="00251C98"/>
    <w:rsid w:val="003071BE"/>
    <w:rsid w:val="003321E8"/>
    <w:rsid w:val="00360D3C"/>
    <w:rsid w:val="0041219E"/>
    <w:rsid w:val="0042714C"/>
    <w:rsid w:val="00447343"/>
    <w:rsid w:val="00475FB0"/>
    <w:rsid w:val="00544BE9"/>
    <w:rsid w:val="00764174"/>
    <w:rsid w:val="007950C7"/>
    <w:rsid w:val="0079794E"/>
    <w:rsid w:val="007A1C96"/>
    <w:rsid w:val="009B3D87"/>
    <w:rsid w:val="009C4FA2"/>
    <w:rsid w:val="00A47B74"/>
    <w:rsid w:val="00AF2E9E"/>
    <w:rsid w:val="00BA30C6"/>
    <w:rsid w:val="00BE53D4"/>
    <w:rsid w:val="00D97CE2"/>
    <w:rsid w:val="00EB3A64"/>
    <w:rsid w:val="00EC2D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805C8E-3364-4B62-91D3-CA5AF325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30C6"/>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A47B7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47B74"/>
    <w:rPr>
      <w:rFonts w:asciiTheme="majorHAnsi" w:eastAsiaTheme="majorEastAsia" w:hAnsiTheme="majorHAnsi" w:cstheme="majorBidi"/>
      <w:b/>
      <w:bCs/>
      <w:kern w:val="52"/>
      <w:sz w:val="52"/>
      <w:szCs w:val="52"/>
    </w:rPr>
  </w:style>
  <w:style w:type="paragraph" w:styleId="a3">
    <w:name w:val="TOC Heading"/>
    <w:basedOn w:val="1"/>
    <w:next w:val="a"/>
    <w:uiPriority w:val="39"/>
    <w:unhideWhenUsed/>
    <w:qFormat/>
    <w:rsid w:val="00A47B74"/>
    <w:pPr>
      <w:keepLines/>
      <w:widowControl/>
      <w:spacing w:before="240" w:after="0" w:line="259" w:lineRule="auto"/>
      <w:outlineLvl w:val="9"/>
    </w:pPr>
    <w:rPr>
      <w:b w:val="0"/>
      <w:bCs w:val="0"/>
      <w:color w:val="2E74B5" w:themeColor="accent1" w:themeShade="BF"/>
      <w:kern w:val="0"/>
      <w:sz w:val="32"/>
      <w:szCs w:val="32"/>
    </w:rPr>
  </w:style>
  <w:style w:type="paragraph" w:styleId="a4">
    <w:name w:val="Balloon Text"/>
    <w:basedOn w:val="a"/>
    <w:link w:val="a5"/>
    <w:uiPriority w:val="99"/>
    <w:semiHidden/>
    <w:unhideWhenUsed/>
    <w:rsid w:val="007950C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950C7"/>
    <w:rPr>
      <w:rFonts w:asciiTheme="majorHAnsi" w:eastAsiaTheme="majorEastAsia" w:hAnsiTheme="majorHAnsi" w:cstheme="majorBidi"/>
      <w:sz w:val="18"/>
      <w:szCs w:val="18"/>
    </w:rPr>
  </w:style>
  <w:style w:type="paragraph" w:styleId="a6">
    <w:name w:val="header"/>
    <w:basedOn w:val="a"/>
    <w:link w:val="a7"/>
    <w:uiPriority w:val="99"/>
    <w:unhideWhenUsed/>
    <w:rsid w:val="00BE53D4"/>
    <w:pPr>
      <w:tabs>
        <w:tab w:val="center" w:pos="4153"/>
        <w:tab w:val="right" w:pos="8306"/>
      </w:tabs>
      <w:snapToGrid w:val="0"/>
    </w:pPr>
    <w:rPr>
      <w:sz w:val="20"/>
      <w:szCs w:val="20"/>
    </w:rPr>
  </w:style>
  <w:style w:type="character" w:customStyle="1" w:styleId="a7">
    <w:name w:val="頁首 字元"/>
    <w:basedOn w:val="a0"/>
    <w:link w:val="a6"/>
    <w:uiPriority w:val="99"/>
    <w:rsid w:val="00BE53D4"/>
    <w:rPr>
      <w:rFonts w:ascii="Times New Roman" w:eastAsia="新細明體" w:hAnsi="Times New Roman" w:cs="Times New Roman"/>
      <w:sz w:val="20"/>
      <w:szCs w:val="20"/>
    </w:rPr>
  </w:style>
  <w:style w:type="paragraph" w:styleId="a8">
    <w:name w:val="footer"/>
    <w:basedOn w:val="a"/>
    <w:link w:val="a9"/>
    <w:uiPriority w:val="99"/>
    <w:unhideWhenUsed/>
    <w:rsid w:val="00BE53D4"/>
    <w:pPr>
      <w:tabs>
        <w:tab w:val="center" w:pos="4153"/>
        <w:tab w:val="right" w:pos="8306"/>
      </w:tabs>
      <w:snapToGrid w:val="0"/>
    </w:pPr>
    <w:rPr>
      <w:sz w:val="20"/>
      <w:szCs w:val="20"/>
    </w:rPr>
  </w:style>
  <w:style w:type="character" w:customStyle="1" w:styleId="a9">
    <w:name w:val="頁尾 字元"/>
    <w:basedOn w:val="a0"/>
    <w:link w:val="a8"/>
    <w:uiPriority w:val="99"/>
    <w:rsid w:val="00BE53D4"/>
    <w:rPr>
      <w:rFonts w:ascii="Times New Roman" w:eastAsia="新細明體" w:hAnsi="Times New Roman" w:cs="Times New Roman"/>
      <w:sz w:val="20"/>
      <w:szCs w:val="20"/>
    </w:rPr>
  </w:style>
  <w:style w:type="character" w:styleId="aa">
    <w:name w:val="Hyperlink"/>
    <w:basedOn w:val="a0"/>
    <w:uiPriority w:val="99"/>
    <w:unhideWhenUsed/>
    <w:rsid w:val="00D97C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10</cp:revision>
  <dcterms:created xsi:type="dcterms:W3CDTF">2016-08-09T02:26:00Z</dcterms:created>
  <dcterms:modified xsi:type="dcterms:W3CDTF">2018-06-20T02:01:00Z</dcterms:modified>
</cp:coreProperties>
</file>